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2"/>
        <w:rPr>
          <w:rFonts w:hint="default" w:ascii="Times New Roman" w:hAnsi="Times New Roman" w:eastAsia="仿宋_GB2312" w:cs="Times New Roman"/>
          <w:color w:val="auto"/>
          <w:sz w:val="28"/>
          <w:highlight w:val="none"/>
        </w:rPr>
      </w:pPr>
      <w:bookmarkStart w:id="0" w:name="_Toc102120468"/>
      <w:bookmarkStart w:id="1" w:name="_Toc102120185"/>
      <w:bookmarkStart w:id="2" w:name="_Toc100119397"/>
      <w:bookmarkStart w:id="3" w:name="_Toc100123151"/>
      <w:bookmarkStart w:id="4" w:name="_Toc328647950"/>
      <w:bookmarkStart w:id="5" w:name="_Toc100123051"/>
      <w:bookmarkStart w:id="6" w:name="_Toc100122851"/>
      <w:bookmarkStart w:id="7" w:name="_Toc102119090"/>
      <w:bookmarkStart w:id="87" w:name="_GoBack"/>
      <w:bookmarkEnd w:id="87"/>
    </w:p>
    <w:p>
      <w:pPr>
        <w:spacing w:line="360" w:lineRule="auto"/>
        <w:jc w:val="center"/>
        <w:rPr>
          <w:rFonts w:hint="default" w:ascii="Times New Roman" w:hAnsi="Times New Roman" w:eastAsia="仿宋_GB2312" w:cs="Times New Roman"/>
          <w:color w:val="auto"/>
          <w:sz w:val="28"/>
          <w:highlight w:val="none"/>
          <w:lang w:eastAsia="zh-CN"/>
        </w:rPr>
      </w:pPr>
    </w:p>
    <w:p>
      <w:pPr>
        <w:spacing w:line="360" w:lineRule="auto"/>
        <w:jc w:val="both"/>
        <w:rPr>
          <w:rFonts w:hint="default" w:ascii="Times New Roman" w:hAnsi="Times New Roman" w:eastAsia="仿宋_GB2312" w:cs="Times New Roman"/>
          <w:color w:val="auto"/>
          <w:sz w:val="28"/>
          <w:highlight w:val="none"/>
        </w:rPr>
      </w:pPr>
    </w:p>
    <w:p>
      <w:pPr>
        <w:spacing w:line="360" w:lineRule="auto"/>
        <w:jc w:val="center"/>
        <w:rPr>
          <w:rFonts w:hint="default" w:ascii="Times New Roman" w:hAnsi="Times New Roman" w:eastAsia="仿宋_GB2312" w:cs="Times New Roman"/>
          <w:color w:val="auto"/>
          <w:sz w:val="28"/>
          <w:highlight w:val="none"/>
        </w:rPr>
      </w:pPr>
    </w:p>
    <w:p>
      <w:pPr>
        <w:pStyle w:val="62"/>
        <w:rPr>
          <w:rFonts w:hint="default" w:ascii="Times New Roman" w:hAnsi="Times New Roman" w:eastAsia="仿宋_GB2312" w:cs="Times New Roman"/>
          <w:color w:val="auto"/>
          <w:sz w:val="28"/>
          <w:highlight w:val="none"/>
        </w:rPr>
      </w:pPr>
    </w:p>
    <w:p>
      <w:pPr>
        <w:pStyle w:val="62"/>
        <w:rPr>
          <w:rFonts w:hint="default" w:ascii="Times New Roman" w:hAnsi="Times New Roman" w:eastAsia="仿宋_GB2312" w:cs="Times New Roman"/>
          <w:color w:val="auto"/>
          <w:sz w:val="28"/>
          <w:highlight w:val="none"/>
        </w:rPr>
      </w:pPr>
    </w:p>
    <w:p>
      <w:pPr>
        <w:pStyle w:val="62"/>
        <w:rPr>
          <w:rFonts w:hint="default" w:ascii="Times New Roman" w:hAnsi="Times New Roman" w:eastAsia="仿宋_GB2312" w:cs="Times New Roman"/>
          <w:color w:val="auto"/>
          <w:sz w:val="28"/>
          <w:highlight w:val="none"/>
        </w:rPr>
      </w:pPr>
    </w:p>
    <w:p>
      <w:pPr>
        <w:pStyle w:val="62"/>
        <w:rPr>
          <w:rFonts w:hint="default" w:ascii="Times New Roman" w:hAnsi="Times New Roman" w:eastAsia="仿宋_GB2312" w:cs="Times New Roman"/>
          <w:color w:val="auto"/>
          <w:sz w:val="28"/>
          <w:highlight w:val="none"/>
        </w:rPr>
      </w:pPr>
    </w:p>
    <w:p>
      <w:pPr>
        <w:spacing w:line="360" w:lineRule="auto"/>
        <w:jc w:val="center"/>
        <w:rPr>
          <w:rFonts w:hint="default" w:ascii="Times New Roman" w:hAnsi="Times New Roman" w:eastAsia="仿宋_GB2312" w:cs="Times New Roman"/>
          <w:color w:val="auto"/>
          <w:sz w:val="28"/>
          <w:highlight w:val="none"/>
        </w:rPr>
      </w:pPr>
    </w:p>
    <w:p>
      <w:pPr>
        <w:spacing w:line="360" w:lineRule="auto"/>
        <w:jc w:val="center"/>
        <w:rPr>
          <w:rFonts w:hint="default" w:ascii="Times New Roman" w:hAnsi="Times New Roman" w:eastAsia="华文新魏" w:cs="Times New Roman"/>
          <w:b/>
          <w:color w:val="auto"/>
          <w:sz w:val="48"/>
          <w:szCs w:val="48"/>
          <w:highlight w:val="none"/>
          <w:lang w:val="en-US" w:eastAsia="zh-CN"/>
        </w:rPr>
      </w:pPr>
      <w:r>
        <w:rPr>
          <w:rFonts w:hint="default" w:ascii="Times New Roman" w:hAnsi="Times New Roman" w:eastAsia="华文新魏" w:cs="Times New Roman"/>
          <w:b/>
          <w:color w:val="auto"/>
          <w:sz w:val="72"/>
          <w:szCs w:val="72"/>
          <w:highlight w:val="none"/>
          <w:lang w:val="en-US" w:eastAsia="zh-CN"/>
        </w:rPr>
        <w:t>竣工环境保护验收调查报告</w:t>
      </w:r>
    </w:p>
    <w:p>
      <w:pPr>
        <w:spacing w:line="360" w:lineRule="auto"/>
        <w:jc w:val="center"/>
        <w:rPr>
          <w:rFonts w:hint="default" w:ascii="Times New Roman" w:hAnsi="Times New Roman" w:eastAsia="仿宋_GB2312" w:cs="Times New Roman"/>
          <w:color w:val="auto"/>
          <w:sz w:val="28"/>
          <w:highlight w:val="none"/>
        </w:rPr>
      </w:pPr>
    </w:p>
    <w:p>
      <w:pPr>
        <w:jc w:val="center"/>
        <w:rPr>
          <w:rFonts w:hint="default" w:ascii="Times New Roman" w:hAnsi="Times New Roman" w:eastAsia="仿宋_GB2312" w:cs="Times New Roman"/>
          <w:color w:val="auto"/>
          <w:sz w:val="28"/>
          <w:highlight w:val="none"/>
        </w:rPr>
      </w:pPr>
    </w:p>
    <w:p>
      <w:pPr>
        <w:pStyle w:val="17"/>
        <w:rPr>
          <w:rFonts w:hint="default" w:ascii="Times New Roman" w:hAnsi="Times New Roman" w:eastAsia="仿宋_GB2312" w:cs="Times New Roman"/>
          <w:color w:val="auto"/>
          <w:sz w:val="28"/>
          <w:highlight w:val="none"/>
        </w:rPr>
      </w:pPr>
    </w:p>
    <w:p>
      <w:pPr>
        <w:rPr>
          <w:rFonts w:hint="default" w:ascii="Times New Roman" w:hAnsi="Times New Roman" w:eastAsia="仿宋_GB2312" w:cs="Times New Roman"/>
          <w:color w:val="auto"/>
          <w:sz w:val="28"/>
          <w:highlight w:val="none"/>
        </w:rPr>
      </w:pPr>
    </w:p>
    <w:p>
      <w:pPr>
        <w:pStyle w:val="17"/>
        <w:rPr>
          <w:rFonts w:hint="default" w:ascii="Times New Roman" w:hAnsi="Times New Roman" w:eastAsia="仿宋_GB2312" w:cs="Times New Roman"/>
          <w:color w:val="auto"/>
          <w:sz w:val="28"/>
          <w:highlight w:val="none"/>
        </w:rPr>
      </w:pPr>
    </w:p>
    <w:p>
      <w:pPr>
        <w:rPr>
          <w:rFonts w:hint="default" w:ascii="Times New Roman" w:hAnsi="Times New Roman" w:eastAsia="仿宋_GB2312" w:cs="Times New Roman"/>
          <w:color w:val="auto"/>
          <w:sz w:val="28"/>
          <w:highlight w:val="none"/>
        </w:rPr>
      </w:pPr>
    </w:p>
    <w:p>
      <w:pPr>
        <w:pStyle w:val="17"/>
        <w:rPr>
          <w:rFonts w:hint="default" w:ascii="Times New Roman" w:hAnsi="Times New Roman" w:eastAsia="仿宋_GB2312" w:cs="Times New Roman"/>
          <w:color w:val="auto"/>
          <w:sz w:val="28"/>
          <w:highlight w:val="none"/>
        </w:rPr>
      </w:pPr>
    </w:p>
    <w:p>
      <w:pPr>
        <w:rPr>
          <w:rFonts w:hint="default"/>
        </w:rPr>
      </w:pPr>
    </w:p>
    <w:p>
      <w:pPr>
        <w:jc w:val="both"/>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eastAsia="zh-CN"/>
        </w:rPr>
        <w:t>项目名称：</w:t>
      </w:r>
      <w:r>
        <w:rPr>
          <w:rFonts w:hint="eastAsia" w:ascii="黑体" w:hAnsi="黑体" w:eastAsia="黑体" w:cs="黑体"/>
          <w:color w:val="auto"/>
          <w:sz w:val="32"/>
          <w:szCs w:val="32"/>
          <w:highlight w:val="none"/>
          <w:lang w:val="en-US" w:eastAsia="zh-CN"/>
        </w:rPr>
        <w:t>太长线鸣谦分输站—鄂安沧忻州分输站输气联络线</w:t>
      </w:r>
    </w:p>
    <w:p>
      <w:pPr>
        <w:ind w:firstLine="1600" w:firstLineChars="500"/>
        <w:jc w:val="both"/>
        <w:rPr>
          <w:rFonts w:hint="eastAsia"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val="en-US" w:eastAsia="zh-CN"/>
        </w:rPr>
        <w:t>工程项目（一期工程）</w:t>
      </w:r>
    </w:p>
    <w:p>
      <w:pPr>
        <w:jc w:val="center"/>
        <w:rPr>
          <w:rFonts w:hint="default" w:ascii="Times New Roman" w:hAnsi="Times New Roman" w:eastAsia="仿宋_GB2312" w:cs="Times New Roman"/>
          <w:color w:val="auto"/>
          <w:sz w:val="28"/>
          <w:highlight w:val="none"/>
        </w:rPr>
      </w:pPr>
    </w:p>
    <w:p>
      <w:pPr>
        <w:jc w:val="center"/>
        <w:rPr>
          <w:rFonts w:hint="default" w:ascii="Times New Roman" w:hAnsi="Times New Roman" w:eastAsia="仿宋_GB2312" w:cs="Times New Roman"/>
          <w:color w:val="auto"/>
          <w:sz w:val="28"/>
          <w:highlight w:val="none"/>
        </w:rPr>
      </w:pPr>
    </w:p>
    <w:p>
      <w:pPr>
        <w:jc w:val="center"/>
        <w:rPr>
          <w:rFonts w:hint="default" w:ascii="Times New Roman" w:hAnsi="Times New Roman" w:eastAsia="仿宋_GB2312" w:cs="Times New Roman"/>
          <w:color w:val="auto"/>
          <w:sz w:val="28"/>
          <w:highlight w:val="none"/>
        </w:rPr>
      </w:pP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ab/>
      </w:r>
      <w:r>
        <w:rPr>
          <w:rFonts w:hint="default" w:ascii="Times New Roman" w:hAnsi="Times New Roman" w:eastAsia="仿宋_GB2312" w:cs="Times New Roman"/>
          <w:color w:val="auto"/>
          <w:sz w:val="28"/>
          <w:highlight w:val="none"/>
        </w:rPr>
        <w:tab/>
      </w:r>
    </w:p>
    <w:p>
      <w:pPr>
        <w:rPr>
          <w:rFonts w:hint="default" w:ascii="Times New Roman" w:hAnsi="Times New Roman" w:eastAsia="仿宋_GB2312" w:cs="Times New Roman"/>
          <w:color w:val="auto"/>
          <w:sz w:val="28"/>
          <w:highlight w:val="none"/>
        </w:rPr>
      </w:pPr>
    </w:p>
    <w:p>
      <w:pPr>
        <w:pStyle w:val="17"/>
        <w:rPr>
          <w:rFonts w:hint="default" w:ascii="Times New Roman" w:hAnsi="Times New Roman" w:eastAsia="仿宋_GB2312" w:cs="Times New Roman"/>
          <w:color w:val="auto"/>
          <w:sz w:val="28"/>
          <w:highlight w:val="none"/>
        </w:rPr>
      </w:pPr>
    </w:p>
    <w:p>
      <w:pPr>
        <w:rPr>
          <w:rFonts w:hint="default" w:ascii="Times New Roman" w:hAnsi="Times New Roman" w:eastAsia="仿宋_GB2312" w:cs="Times New Roman"/>
          <w:color w:val="auto"/>
          <w:sz w:val="28"/>
          <w:highlight w:val="none"/>
        </w:rPr>
      </w:pPr>
    </w:p>
    <w:p>
      <w:pPr>
        <w:rPr>
          <w:rFonts w:hint="default" w:ascii="Times New Roman" w:hAnsi="Times New Roman" w:cs="Times New Roman"/>
          <w:highlight w:val="none"/>
        </w:rPr>
      </w:pPr>
    </w:p>
    <w:p>
      <w:pPr>
        <w:rPr>
          <w:rFonts w:hint="default" w:ascii="Times New Roman" w:hAnsi="Times New Roman" w:eastAsia="仿宋_GB2312" w:cs="Times New Roman"/>
          <w:color w:val="auto"/>
          <w:sz w:val="28"/>
          <w:highlight w:val="none"/>
        </w:rPr>
      </w:pPr>
    </w:p>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ab/>
      </w:r>
    </w:p>
    <w:p>
      <w:pPr>
        <w:keepNext w:val="0"/>
        <w:keepLines w:val="0"/>
        <w:pageBreakBefore w:val="0"/>
        <w:widowControl/>
        <w:kinsoku/>
        <w:wordWrap/>
        <w:overflowPunct/>
        <w:topLinePunct w:val="0"/>
        <w:autoSpaceDE/>
        <w:autoSpaceDN/>
        <w:bidi w:val="0"/>
        <w:adjustRightInd/>
        <w:snapToGrid/>
        <w:spacing w:line="360" w:lineRule="auto"/>
        <w:ind w:firstLine="1500" w:firstLineChars="500"/>
        <w:jc w:val="left"/>
        <w:textAlignment w:val="auto"/>
        <w:rPr>
          <w:rFonts w:hint="eastAsia" w:ascii="黑体" w:hAnsi="黑体" w:eastAsia="黑体" w:cs="黑体"/>
          <w:color w:val="auto"/>
          <w:kern w:val="0"/>
          <w:sz w:val="30"/>
          <w:szCs w:val="30"/>
          <w:highlight w:val="none"/>
        </w:rPr>
      </w:pPr>
      <w:r>
        <w:rPr>
          <w:rFonts w:hint="eastAsia" w:ascii="黑体" w:hAnsi="黑体" w:eastAsia="黑体" w:cs="黑体"/>
          <w:color w:val="auto"/>
          <w:kern w:val="0"/>
          <w:sz w:val="30"/>
          <w:szCs w:val="30"/>
          <w:highlight w:val="none"/>
        </w:rPr>
        <w:t>建设单位:</w:t>
      </w:r>
      <w:r>
        <w:rPr>
          <w:rFonts w:hint="eastAsia" w:ascii="黑体" w:hAnsi="黑体" w:eastAsia="黑体" w:cs="黑体"/>
          <w:color w:val="auto"/>
          <w:kern w:val="0"/>
          <w:sz w:val="30"/>
          <w:szCs w:val="30"/>
          <w:highlight w:val="none"/>
          <w:lang w:val="en-US" w:eastAsia="zh-CN"/>
        </w:rPr>
        <w:t xml:space="preserve"> 山西国化能源有限责任公司</w:t>
      </w:r>
    </w:p>
    <w:p>
      <w:pPr>
        <w:keepNext w:val="0"/>
        <w:keepLines w:val="0"/>
        <w:pageBreakBefore w:val="0"/>
        <w:widowControl/>
        <w:kinsoku/>
        <w:wordWrap/>
        <w:overflowPunct/>
        <w:topLinePunct w:val="0"/>
        <w:autoSpaceDE/>
        <w:autoSpaceDN/>
        <w:bidi w:val="0"/>
        <w:adjustRightInd/>
        <w:snapToGrid/>
        <w:spacing w:line="360" w:lineRule="auto"/>
        <w:ind w:firstLine="1500" w:firstLineChars="500"/>
        <w:jc w:val="left"/>
        <w:textAlignment w:val="auto"/>
        <w:rPr>
          <w:rFonts w:hint="eastAsia" w:ascii="黑体" w:hAnsi="黑体" w:eastAsia="黑体" w:cs="黑体"/>
          <w:color w:val="auto"/>
          <w:kern w:val="0"/>
          <w:sz w:val="30"/>
          <w:szCs w:val="30"/>
          <w:highlight w:val="none"/>
        </w:rPr>
      </w:pPr>
      <w:r>
        <w:rPr>
          <w:rFonts w:hint="eastAsia" w:ascii="黑体" w:hAnsi="黑体" w:eastAsia="黑体" w:cs="黑体"/>
          <w:color w:val="auto"/>
          <w:kern w:val="0"/>
          <w:sz w:val="30"/>
          <w:szCs w:val="30"/>
          <w:highlight w:val="none"/>
        </w:rPr>
        <w:t>编制单位：山西</w:t>
      </w:r>
      <w:r>
        <w:rPr>
          <w:rFonts w:hint="eastAsia" w:ascii="黑体" w:hAnsi="黑体" w:eastAsia="黑体" w:cs="黑体"/>
          <w:color w:val="auto"/>
          <w:kern w:val="0"/>
          <w:sz w:val="30"/>
          <w:szCs w:val="30"/>
          <w:highlight w:val="none"/>
          <w:lang w:eastAsia="zh-CN"/>
        </w:rPr>
        <w:t>大地</w:t>
      </w:r>
      <w:r>
        <w:rPr>
          <w:rFonts w:hint="eastAsia" w:ascii="黑体" w:hAnsi="黑体" w:eastAsia="黑体" w:cs="黑体"/>
          <w:color w:val="auto"/>
          <w:kern w:val="0"/>
          <w:sz w:val="30"/>
          <w:szCs w:val="30"/>
          <w:highlight w:val="none"/>
        </w:rPr>
        <w:t>晋新</w:t>
      </w:r>
      <w:r>
        <w:rPr>
          <w:rFonts w:hint="eastAsia" w:ascii="黑体" w:hAnsi="黑体" w:eastAsia="黑体" w:cs="黑体"/>
          <w:color w:val="auto"/>
          <w:kern w:val="0"/>
          <w:sz w:val="30"/>
          <w:szCs w:val="30"/>
          <w:highlight w:val="none"/>
          <w:lang w:eastAsia="zh-CN"/>
        </w:rPr>
        <w:t>环境科技研究院</w:t>
      </w:r>
      <w:r>
        <w:rPr>
          <w:rFonts w:hint="eastAsia" w:ascii="黑体" w:hAnsi="黑体" w:eastAsia="黑体" w:cs="黑体"/>
          <w:color w:val="auto"/>
          <w:kern w:val="0"/>
          <w:sz w:val="30"/>
          <w:szCs w:val="30"/>
          <w:highlight w:val="none"/>
        </w:rPr>
        <w:t>有限公司</w:t>
      </w:r>
    </w:p>
    <w:p>
      <w:pPr>
        <w:rPr>
          <w:rFonts w:hint="eastAsia" w:ascii="黑体" w:hAnsi="黑体" w:eastAsia="黑体" w:cs="黑体"/>
          <w:color w:val="auto"/>
          <w:sz w:val="30"/>
          <w:szCs w:val="30"/>
          <w:highlight w:val="none"/>
        </w:rPr>
      </w:pPr>
    </w:p>
    <w:p>
      <w:pPr>
        <w:jc w:val="center"/>
        <w:rPr>
          <w:rFonts w:hint="eastAsia" w:ascii="黑体" w:hAnsi="黑体" w:eastAsia="黑体" w:cs="黑体"/>
          <w:b w:val="0"/>
          <w:bCs/>
          <w:color w:val="auto"/>
          <w:sz w:val="30"/>
          <w:szCs w:val="30"/>
          <w:highlight w:val="none"/>
        </w:rPr>
      </w:pPr>
      <w:r>
        <w:rPr>
          <w:rFonts w:hint="eastAsia" w:ascii="黑体" w:hAnsi="黑体" w:eastAsia="黑体" w:cs="黑体"/>
          <w:b w:val="0"/>
          <w:bCs/>
          <w:color w:val="auto"/>
          <w:sz w:val="30"/>
          <w:szCs w:val="30"/>
          <w:highlight w:val="none"/>
          <w:lang w:val="en-US" w:eastAsia="zh-CN"/>
        </w:rPr>
        <w:t>2022</w:t>
      </w:r>
      <w:r>
        <w:rPr>
          <w:rFonts w:hint="eastAsia" w:ascii="黑体" w:hAnsi="黑体" w:eastAsia="黑体" w:cs="黑体"/>
          <w:b w:val="0"/>
          <w:bCs/>
          <w:color w:val="auto"/>
          <w:sz w:val="30"/>
          <w:szCs w:val="30"/>
          <w:highlight w:val="none"/>
        </w:rPr>
        <w:t>年</w:t>
      </w:r>
      <w:r>
        <w:rPr>
          <w:rFonts w:hint="eastAsia" w:ascii="黑体" w:hAnsi="黑体" w:eastAsia="黑体" w:cs="黑体"/>
          <w:b w:val="0"/>
          <w:bCs/>
          <w:color w:val="auto"/>
          <w:sz w:val="30"/>
          <w:szCs w:val="30"/>
          <w:highlight w:val="none"/>
          <w:lang w:val="en-US" w:eastAsia="zh-CN"/>
        </w:rPr>
        <w:t>2</w:t>
      </w:r>
      <w:r>
        <w:rPr>
          <w:rFonts w:hint="eastAsia" w:ascii="黑体" w:hAnsi="黑体" w:eastAsia="黑体" w:cs="黑体"/>
          <w:b w:val="0"/>
          <w:bCs/>
          <w:color w:val="auto"/>
          <w:sz w:val="30"/>
          <w:szCs w:val="30"/>
          <w:highlight w:val="none"/>
        </w:rPr>
        <w:t>月</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eastAsia="仿宋_GB2312" w:cs="Times New Roman"/>
          <w:b/>
          <w:color w:val="auto"/>
          <w:sz w:val="28"/>
          <w:highlight w:val="none"/>
        </w:rPr>
      </w:pPr>
      <w:r>
        <w:rPr>
          <w:rFonts w:hint="default" w:ascii="Times New Roman" w:hAnsi="Times New Roman" w:eastAsia="仿宋_GB2312" w:cs="Times New Roman"/>
          <w:color w:val="auto"/>
          <w:sz w:val="32"/>
          <w:highlight w:val="none"/>
        </w:rPr>
        <w:br w:type="page"/>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黑体" w:hAnsi="黑体" w:eastAsia="黑体" w:cs="黑体"/>
          <w:bCs/>
          <w:color w:val="auto"/>
          <w:sz w:val="24"/>
          <w:highlight w:val="none"/>
        </w:rPr>
      </w:pPr>
      <w:r>
        <w:rPr>
          <w:rFonts w:hint="eastAsia" w:ascii="黑体" w:hAnsi="黑体" w:eastAsia="黑体" w:cs="黑体"/>
          <w:b w:val="0"/>
          <w:bCs/>
          <w:color w:val="auto"/>
          <w:sz w:val="24"/>
          <w:highlight w:val="none"/>
        </w:rPr>
        <w:t>建设单位法人代表:</w:t>
      </w:r>
      <w:r>
        <w:rPr>
          <w:rFonts w:hint="eastAsia" w:ascii="黑体" w:hAnsi="黑体" w:eastAsia="黑体" w:cs="黑体"/>
          <w:bCs/>
          <w:color w:val="auto"/>
          <w:sz w:val="24"/>
          <w:highlight w:val="none"/>
        </w:rPr>
        <w:tab/>
      </w:r>
      <w:r>
        <w:rPr>
          <w:rFonts w:hint="eastAsia" w:ascii="黑体" w:hAnsi="黑体" w:eastAsia="黑体" w:cs="黑体"/>
          <w:bCs/>
          <w:color w:val="auto"/>
          <w:sz w:val="24"/>
          <w:highlight w:val="none"/>
        </w:rPr>
        <w:t xml:space="preserve">       </w:t>
      </w:r>
      <w:r>
        <w:rPr>
          <w:rFonts w:hint="eastAsia" w:ascii="黑体" w:hAnsi="黑体" w:eastAsia="黑体" w:cs="黑体"/>
          <w:bCs/>
          <w:color w:val="auto"/>
          <w:sz w:val="24"/>
          <w:highlight w:val="none"/>
          <w:lang w:val="en-US" w:eastAsia="zh-CN"/>
        </w:rPr>
        <w:t xml:space="preserve">   </w:t>
      </w:r>
      <w:r>
        <w:rPr>
          <w:rFonts w:hint="eastAsia" w:ascii="黑体" w:hAnsi="黑体" w:eastAsia="黑体" w:cs="黑体"/>
          <w:bCs/>
          <w:color w:val="auto"/>
          <w:sz w:val="24"/>
          <w:highlight w:val="none"/>
        </w:rPr>
        <w:t xml:space="preserve">   （签字）</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黑体" w:hAnsi="黑体" w:eastAsia="黑体" w:cs="黑体"/>
          <w:bCs/>
          <w:color w:val="auto"/>
          <w:sz w:val="24"/>
          <w:highlight w:val="none"/>
        </w:rPr>
      </w:pPr>
      <w:r>
        <w:rPr>
          <w:rFonts w:hint="eastAsia" w:ascii="黑体" w:hAnsi="黑体" w:eastAsia="黑体" w:cs="黑体"/>
          <w:b w:val="0"/>
          <w:bCs/>
          <w:color w:val="auto"/>
          <w:sz w:val="24"/>
          <w:highlight w:val="none"/>
        </w:rPr>
        <w:t>编制单位法人代表:</w:t>
      </w:r>
      <w:r>
        <w:rPr>
          <w:rFonts w:hint="eastAsia" w:ascii="黑体" w:hAnsi="黑体" w:eastAsia="黑体" w:cs="黑体"/>
          <w:bCs/>
          <w:color w:val="auto"/>
          <w:sz w:val="24"/>
          <w:highlight w:val="none"/>
        </w:rPr>
        <w:tab/>
      </w:r>
      <w:r>
        <w:rPr>
          <w:rFonts w:hint="eastAsia" w:ascii="黑体" w:hAnsi="黑体" w:eastAsia="黑体" w:cs="黑体"/>
          <w:bCs/>
          <w:color w:val="auto"/>
          <w:sz w:val="24"/>
          <w:highlight w:val="none"/>
        </w:rPr>
        <w:t xml:space="preserve">          </w:t>
      </w:r>
      <w:r>
        <w:rPr>
          <w:rFonts w:hint="eastAsia" w:ascii="黑体" w:hAnsi="黑体" w:eastAsia="黑体" w:cs="黑体"/>
          <w:bCs/>
          <w:color w:val="auto"/>
          <w:sz w:val="24"/>
          <w:highlight w:val="none"/>
          <w:lang w:val="en-US" w:eastAsia="zh-CN"/>
        </w:rPr>
        <w:t xml:space="preserve">   </w:t>
      </w:r>
      <w:r>
        <w:rPr>
          <w:rFonts w:hint="eastAsia" w:ascii="黑体" w:hAnsi="黑体" w:eastAsia="黑体" w:cs="黑体"/>
          <w:bCs/>
          <w:color w:val="auto"/>
          <w:sz w:val="24"/>
          <w:highlight w:val="none"/>
        </w:rPr>
        <w:t>（签字）</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黑体" w:hAnsi="黑体" w:eastAsia="黑体" w:cs="黑体"/>
          <w:b w:val="0"/>
          <w:bCs/>
          <w:color w:val="auto"/>
          <w:spacing w:val="0"/>
          <w:w w:val="100"/>
          <w:sz w:val="24"/>
          <w:highlight w:val="none"/>
        </w:rPr>
      </w:pPr>
      <w:r>
        <w:rPr>
          <w:rFonts w:hint="eastAsia" w:ascii="黑体" w:hAnsi="黑体" w:eastAsia="黑体" w:cs="黑体"/>
          <w:b w:val="0"/>
          <w:bCs/>
          <w:color w:val="auto"/>
          <w:spacing w:val="0"/>
          <w:w w:val="100"/>
          <w:sz w:val="24"/>
          <w:highlight w:val="none"/>
        </w:rPr>
        <w:t>项  目  负  责  人:</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黑体" w:hAnsi="黑体" w:eastAsia="黑体" w:cs="黑体"/>
          <w:b w:val="0"/>
          <w:bCs/>
          <w:color w:val="auto"/>
          <w:w w:val="100"/>
          <w:sz w:val="24"/>
          <w:highlight w:val="none"/>
        </w:rPr>
      </w:pPr>
      <w:r>
        <w:rPr>
          <w:rFonts w:hint="eastAsia" w:ascii="黑体" w:hAnsi="黑体" w:eastAsia="黑体" w:cs="黑体"/>
          <w:b w:val="0"/>
          <w:bCs/>
          <w:color w:val="auto"/>
          <w:spacing w:val="0"/>
          <w:w w:val="100"/>
          <w:sz w:val="24"/>
          <w:highlight w:val="none"/>
        </w:rPr>
        <w:t xml:space="preserve">报  告 </w:t>
      </w:r>
      <w:r>
        <w:rPr>
          <w:rFonts w:hint="eastAsia" w:ascii="黑体" w:hAnsi="黑体" w:eastAsia="黑体" w:cs="黑体"/>
          <w:b w:val="0"/>
          <w:bCs/>
          <w:color w:val="auto"/>
          <w:spacing w:val="0"/>
          <w:w w:val="100"/>
          <w:sz w:val="24"/>
          <w:highlight w:val="none"/>
          <w:lang w:val="en-US" w:eastAsia="zh-CN"/>
        </w:rPr>
        <w:t xml:space="preserve"> </w:t>
      </w:r>
      <w:r>
        <w:rPr>
          <w:rFonts w:hint="eastAsia" w:ascii="黑体" w:hAnsi="黑体" w:eastAsia="黑体" w:cs="黑体"/>
          <w:b w:val="0"/>
          <w:bCs/>
          <w:color w:val="auto"/>
          <w:spacing w:val="0"/>
          <w:w w:val="100"/>
          <w:sz w:val="24"/>
          <w:highlight w:val="none"/>
        </w:rPr>
        <w:t xml:space="preserve"> 编  写  </w:t>
      </w:r>
      <w:r>
        <w:rPr>
          <w:rFonts w:hint="eastAsia" w:ascii="黑体" w:hAnsi="黑体" w:eastAsia="黑体" w:cs="黑体"/>
          <w:b w:val="0"/>
          <w:bCs/>
          <w:color w:val="auto"/>
          <w:spacing w:val="0"/>
          <w:w w:val="100"/>
          <w:sz w:val="24"/>
          <w:highlight w:val="none"/>
          <w:lang w:val="en-US" w:eastAsia="zh-CN"/>
        </w:rPr>
        <w:t xml:space="preserve"> </w:t>
      </w:r>
      <w:r>
        <w:rPr>
          <w:rFonts w:hint="eastAsia" w:ascii="黑体" w:hAnsi="黑体" w:eastAsia="黑体" w:cs="黑体"/>
          <w:b w:val="0"/>
          <w:bCs/>
          <w:color w:val="auto"/>
          <w:spacing w:val="0"/>
          <w:w w:val="100"/>
          <w:sz w:val="24"/>
          <w:highlight w:val="none"/>
        </w:rPr>
        <w:t>人：</w:t>
      </w:r>
    </w:p>
    <w:p>
      <w:pPr>
        <w:widowControl/>
        <w:spacing w:line="480" w:lineRule="auto"/>
        <w:rPr>
          <w:rFonts w:hint="eastAsia" w:ascii="黑体" w:hAnsi="黑体" w:eastAsia="黑体" w:cs="黑体"/>
          <w:b w:val="0"/>
          <w:bCs/>
          <w:color w:val="auto"/>
          <w:sz w:val="28"/>
          <w:highlight w:val="none"/>
        </w:rPr>
      </w:pPr>
    </w:p>
    <w:p>
      <w:pPr>
        <w:widowControl/>
        <w:spacing w:line="480" w:lineRule="auto"/>
        <w:rPr>
          <w:rFonts w:hint="eastAsia" w:ascii="黑体" w:hAnsi="黑体" w:eastAsia="黑体" w:cs="黑体"/>
          <w:b w:val="0"/>
          <w:bCs/>
          <w:color w:val="auto"/>
          <w:sz w:val="28"/>
          <w:highlight w:val="none"/>
        </w:rPr>
      </w:pPr>
    </w:p>
    <w:p>
      <w:pPr>
        <w:spacing w:line="360" w:lineRule="auto"/>
        <w:rPr>
          <w:rFonts w:hint="default" w:ascii="Times New Roman" w:hAnsi="Times New Roman" w:eastAsia="仿宋_GB2312" w:cs="Times New Roman"/>
          <w:b/>
          <w:color w:val="auto"/>
          <w:sz w:val="28"/>
          <w:highlight w:val="none"/>
        </w:rPr>
      </w:pPr>
    </w:p>
    <w:p>
      <w:pPr>
        <w:spacing w:line="360" w:lineRule="auto"/>
        <w:rPr>
          <w:rFonts w:ascii="Times New Roman" w:hAnsi="Times New Roman"/>
          <w:bCs/>
          <w:sz w:val="30"/>
          <w:szCs w:val="30"/>
          <w:highlight w:val="none"/>
        </w:rPr>
      </w:pPr>
    </w:p>
    <w:p>
      <w:pPr>
        <w:pStyle w:val="17"/>
        <w:rPr>
          <w:rFonts w:ascii="Times New Roman" w:hAnsi="Times New Roman"/>
          <w:bCs/>
          <w:sz w:val="30"/>
          <w:szCs w:val="30"/>
          <w:highlight w:val="none"/>
        </w:rPr>
      </w:pPr>
    </w:p>
    <w:p>
      <w:pPr>
        <w:rPr>
          <w:rFonts w:ascii="Times New Roman" w:hAnsi="Times New Roman"/>
          <w:bCs/>
          <w:sz w:val="30"/>
          <w:szCs w:val="30"/>
          <w:highlight w:val="none"/>
        </w:rPr>
      </w:pPr>
    </w:p>
    <w:p>
      <w:pPr>
        <w:pStyle w:val="17"/>
        <w:rPr>
          <w:rFonts w:ascii="Times New Roman" w:hAnsi="Times New Roman"/>
          <w:bCs/>
          <w:sz w:val="30"/>
          <w:szCs w:val="30"/>
          <w:highlight w:val="none"/>
        </w:rPr>
      </w:pPr>
    </w:p>
    <w:p>
      <w:pPr>
        <w:rPr>
          <w:rFonts w:ascii="Times New Roman" w:hAnsi="Times New Roman"/>
          <w:bCs/>
          <w:sz w:val="30"/>
          <w:szCs w:val="30"/>
          <w:highlight w:val="none"/>
        </w:rPr>
      </w:pPr>
    </w:p>
    <w:p>
      <w:pPr>
        <w:pStyle w:val="17"/>
        <w:rPr>
          <w:rFonts w:ascii="Times New Roman" w:hAnsi="Times New Roman"/>
          <w:bCs/>
          <w:sz w:val="30"/>
          <w:szCs w:val="30"/>
          <w:highlight w:val="none"/>
        </w:rPr>
      </w:pPr>
    </w:p>
    <w:p>
      <w:pPr>
        <w:rPr>
          <w:rFonts w:ascii="Times New Roman" w:hAnsi="Times New Roman"/>
          <w:bCs/>
          <w:sz w:val="30"/>
          <w:szCs w:val="30"/>
          <w:highlight w:val="none"/>
        </w:rPr>
      </w:pPr>
    </w:p>
    <w:p>
      <w:pPr>
        <w:pStyle w:val="17"/>
        <w:rPr>
          <w:rFonts w:ascii="Times New Roman" w:hAnsi="Times New Roman"/>
          <w:bCs/>
          <w:sz w:val="30"/>
          <w:szCs w:val="30"/>
          <w:highlight w:val="none"/>
        </w:rPr>
      </w:pPr>
    </w:p>
    <w:p>
      <w:pPr>
        <w:rPr>
          <w:rFonts w:ascii="Times New Roman" w:hAnsi="Times New Roman"/>
          <w:bCs/>
          <w:sz w:val="30"/>
          <w:szCs w:val="30"/>
          <w:highlight w:val="none"/>
        </w:rPr>
      </w:pPr>
    </w:p>
    <w:p>
      <w:pPr>
        <w:pStyle w:val="17"/>
        <w:rPr>
          <w:rFonts w:ascii="Times New Roman" w:hAnsi="Times New Roman"/>
          <w:bCs/>
          <w:sz w:val="30"/>
          <w:szCs w:val="30"/>
          <w:highlight w:val="none"/>
        </w:rPr>
      </w:pPr>
    </w:p>
    <w:p/>
    <w:p>
      <w:pPr>
        <w:rPr>
          <w:rFonts w:ascii="Times New Roman" w:hAnsi="Times New Roman"/>
          <w:bCs/>
          <w:sz w:val="30"/>
          <w:szCs w:val="30"/>
          <w:highlight w:val="none"/>
        </w:rPr>
      </w:pPr>
    </w:p>
    <w:p/>
    <w:p>
      <w:pPr>
        <w:pStyle w:val="62"/>
        <w:rPr>
          <w:rFonts w:ascii="Times New Roman" w:hAnsi="Times New Roman"/>
          <w:bCs/>
          <w:sz w:val="30"/>
          <w:szCs w:val="30"/>
          <w:highlight w:val="none"/>
        </w:rPr>
      </w:pPr>
    </w:p>
    <w:p>
      <w:pPr>
        <w:pStyle w:val="62"/>
        <w:rPr>
          <w:rFonts w:ascii="Times New Roman" w:hAnsi="Times New Roman"/>
          <w:bCs/>
          <w:sz w:val="30"/>
          <w:szCs w:val="30"/>
          <w:highlight w:val="none"/>
        </w:rPr>
      </w:pPr>
    </w:p>
    <w:tbl>
      <w:tblPr>
        <w:tblStyle w:val="33"/>
        <w:tblW w:w="83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11"/>
        <w:gridCol w:w="705"/>
        <w:gridCol w:w="2606"/>
        <w:gridCol w:w="247"/>
        <w:gridCol w:w="708"/>
        <w:gridCol w:w="711"/>
        <w:gridCol w:w="27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7" w:hRule="atLeast"/>
          <w:jc w:val="center"/>
        </w:trPr>
        <w:tc>
          <w:tcPr>
            <w:tcW w:w="1416" w:type="dxa"/>
            <w:gridSpan w:val="2"/>
          </w:tcPr>
          <w:p>
            <w:pPr>
              <w:spacing w:line="360" w:lineRule="auto"/>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建设单位：</w:t>
            </w:r>
          </w:p>
        </w:tc>
        <w:tc>
          <w:tcPr>
            <w:tcW w:w="2606" w:type="dxa"/>
          </w:tcPr>
          <w:p>
            <w:pPr>
              <w:spacing w:line="520" w:lineRule="exact"/>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山西国化能源有限责任公司</w:t>
            </w:r>
            <w:r>
              <w:rPr>
                <w:rFonts w:hint="eastAsia" w:ascii="黑体" w:hAnsi="黑体" w:eastAsia="黑体" w:cs="黑体"/>
                <w:b w:val="0"/>
                <w:bCs w:val="0"/>
                <w:color w:val="000000"/>
                <w:sz w:val="24"/>
                <w:szCs w:val="24"/>
                <w:highlight w:val="none"/>
              </w:rPr>
              <w:t>（盖章）</w:t>
            </w:r>
          </w:p>
        </w:tc>
        <w:tc>
          <w:tcPr>
            <w:tcW w:w="247" w:type="dxa"/>
          </w:tcPr>
          <w:p>
            <w:pPr>
              <w:spacing w:line="520" w:lineRule="exact"/>
              <w:jc w:val="center"/>
              <w:rPr>
                <w:rFonts w:hint="eastAsia" w:ascii="黑体" w:hAnsi="黑体" w:eastAsia="黑体" w:cs="黑体"/>
                <w:b w:val="0"/>
                <w:bCs w:val="0"/>
                <w:color w:val="000000"/>
                <w:sz w:val="24"/>
                <w:szCs w:val="24"/>
                <w:highlight w:val="none"/>
              </w:rPr>
            </w:pPr>
          </w:p>
        </w:tc>
        <w:tc>
          <w:tcPr>
            <w:tcW w:w="1419" w:type="dxa"/>
            <w:gridSpan w:val="2"/>
          </w:tcPr>
          <w:p>
            <w:pPr>
              <w:spacing w:line="520" w:lineRule="exact"/>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调查单位：</w:t>
            </w:r>
          </w:p>
        </w:tc>
        <w:tc>
          <w:tcPr>
            <w:tcW w:w="2702" w:type="dxa"/>
          </w:tcPr>
          <w:p>
            <w:pPr>
              <w:spacing w:line="520" w:lineRule="exact"/>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山西大地晋新环境科技研究院有限公司</w:t>
            </w:r>
            <w:r>
              <w:rPr>
                <w:rFonts w:hint="eastAsia" w:ascii="黑体" w:hAnsi="黑体" w:eastAsia="黑体" w:cs="黑体"/>
                <w:b w:val="0"/>
                <w:bCs w:val="0"/>
                <w:color w:val="000000"/>
                <w:sz w:val="24"/>
                <w:szCs w:val="24"/>
                <w:highlight w:val="none"/>
              </w:rPr>
              <w:t>（盖章）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4022" w:type="dxa"/>
            <w:gridSpan w:val="3"/>
          </w:tcPr>
          <w:p>
            <w:pPr>
              <w:rPr>
                <w:rFonts w:hint="eastAsia" w:ascii="黑体" w:hAnsi="黑体" w:eastAsia="黑体" w:cs="黑体"/>
                <w:b w:val="0"/>
                <w:bCs w:val="0"/>
                <w:color w:val="000000"/>
                <w:sz w:val="24"/>
                <w:szCs w:val="24"/>
                <w:highlight w:val="none"/>
                <w:lang w:val="en-US"/>
              </w:rPr>
            </w:pPr>
            <w:r>
              <w:rPr>
                <w:rFonts w:hint="eastAsia" w:ascii="黑体" w:hAnsi="黑体" w:eastAsia="黑体" w:cs="黑体"/>
                <w:b w:val="0"/>
                <w:bCs w:val="0"/>
                <w:color w:val="000000"/>
                <w:sz w:val="24"/>
                <w:szCs w:val="24"/>
                <w:highlight w:val="none"/>
              </w:rPr>
              <w:t>电话：</w:t>
            </w:r>
            <w:r>
              <w:rPr>
                <w:rFonts w:hint="eastAsia" w:ascii="黑体" w:hAnsi="黑体" w:eastAsia="黑体" w:cs="黑体"/>
                <w:b w:val="0"/>
                <w:bCs w:val="0"/>
                <w:color w:val="000000"/>
                <w:sz w:val="24"/>
                <w:szCs w:val="24"/>
                <w:highlight w:val="none"/>
                <w:lang w:val="en-US" w:eastAsia="zh-CN"/>
              </w:rPr>
              <w:t>18834133393</w:t>
            </w:r>
          </w:p>
        </w:tc>
        <w:tc>
          <w:tcPr>
            <w:tcW w:w="247" w:type="dxa"/>
          </w:tcPr>
          <w:p>
            <w:pPr>
              <w:jc w:val="center"/>
              <w:rPr>
                <w:rFonts w:hint="eastAsia" w:ascii="黑体" w:hAnsi="黑体" w:eastAsia="黑体" w:cs="黑体"/>
                <w:b w:val="0"/>
                <w:bCs w:val="0"/>
                <w:color w:val="000000"/>
                <w:sz w:val="24"/>
                <w:szCs w:val="24"/>
                <w:highlight w:val="none"/>
              </w:rPr>
            </w:pPr>
          </w:p>
        </w:tc>
        <w:tc>
          <w:tcPr>
            <w:tcW w:w="4121" w:type="dxa"/>
            <w:gridSpan w:val="3"/>
          </w:tcPr>
          <w:p>
            <w:pPr>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rPr>
              <w:t>电话：</w:t>
            </w:r>
            <w:r>
              <w:rPr>
                <w:rFonts w:hint="eastAsia" w:ascii="黑体" w:hAnsi="黑体" w:eastAsia="黑体" w:cs="黑体"/>
                <w:b w:val="0"/>
                <w:bCs w:val="0"/>
                <w:color w:val="000000"/>
                <w:sz w:val="24"/>
                <w:szCs w:val="24"/>
                <w:highlight w:val="none"/>
                <w:lang w:val="en-US" w:eastAsia="zh-CN"/>
              </w:rPr>
              <w:t>0351-6869883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4022" w:type="dxa"/>
            <w:gridSpan w:val="3"/>
          </w:tcPr>
          <w:p>
            <w:pP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传真：/</w:t>
            </w:r>
          </w:p>
        </w:tc>
        <w:tc>
          <w:tcPr>
            <w:tcW w:w="247" w:type="dxa"/>
          </w:tcPr>
          <w:p>
            <w:pPr>
              <w:jc w:val="center"/>
              <w:rPr>
                <w:rFonts w:hint="eastAsia" w:ascii="黑体" w:hAnsi="黑体" w:eastAsia="黑体" w:cs="黑体"/>
                <w:b w:val="0"/>
                <w:bCs w:val="0"/>
                <w:color w:val="000000"/>
                <w:sz w:val="24"/>
                <w:szCs w:val="24"/>
                <w:highlight w:val="none"/>
              </w:rPr>
            </w:pPr>
          </w:p>
        </w:tc>
        <w:tc>
          <w:tcPr>
            <w:tcW w:w="4121" w:type="dxa"/>
            <w:gridSpan w:val="3"/>
          </w:tcPr>
          <w:p>
            <w:pP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传真：</w:t>
            </w:r>
            <w:r>
              <w:rPr>
                <w:rFonts w:hint="eastAsia" w:ascii="黑体" w:hAnsi="黑体" w:eastAsia="黑体" w:cs="黑体"/>
                <w:b w:val="0"/>
                <w:bCs w:val="0"/>
                <w:color w:val="000000"/>
                <w:sz w:val="24"/>
                <w:szCs w:val="24"/>
                <w:highlight w:val="none"/>
                <w:lang w:val="en-US" w:eastAsia="zh-CN"/>
              </w:rPr>
              <w:t>0351-6869884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4022" w:type="dxa"/>
            <w:gridSpan w:val="3"/>
          </w:tcPr>
          <w:p>
            <w:pPr>
              <w:rPr>
                <w:rFonts w:hint="eastAsia" w:ascii="黑体" w:hAnsi="黑体" w:eastAsia="黑体" w:cs="黑体"/>
                <w:b w:val="0"/>
                <w:bCs w:val="0"/>
                <w:color w:val="000000"/>
                <w:sz w:val="24"/>
                <w:szCs w:val="24"/>
                <w:highlight w:val="none"/>
                <w:lang w:val="en-US"/>
              </w:rPr>
            </w:pPr>
            <w:r>
              <w:rPr>
                <w:rFonts w:hint="eastAsia" w:ascii="黑体" w:hAnsi="黑体" w:eastAsia="黑体" w:cs="黑体"/>
                <w:b w:val="0"/>
                <w:bCs w:val="0"/>
                <w:color w:val="000000"/>
                <w:sz w:val="24"/>
                <w:szCs w:val="24"/>
                <w:highlight w:val="none"/>
              </w:rPr>
              <w:t>邮编：032699</w:t>
            </w:r>
          </w:p>
        </w:tc>
        <w:tc>
          <w:tcPr>
            <w:tcW w:w="247" w:type="dxa"/>
          </w:tcPr>
          <w:p>
            <w:pPr>
              <w:jc w:val="center"/>
              <w:rPr>
                <w:rFonts w:hint="eastAsia" w:ascii="黑体" w:hAnsi="黑体" w:eastAsia="黑体" w:cs="黑体"/>
                <w:b w:val="0"/>
                <w:bCs w:val="0"/>
                <w:color w:val="000000"/>
                <w:sz w:val="24"/>
                <w:szCs w:val="24"/>
                <w:highlight w:val="none"/>
              </w:rPr>
            </w:pPr>
          </w:p>
        </w:tc>
        <w:tc>
          <w:tcPr>
            <w:tcW w:w="4121" w:type="dxa"/>
            <w:gridSpan w:val="3"/>
          </w:tcPr>
          <w:p>
            <w:pPr>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rPr>
              <w:t>邮编：</w:t>
            </w:r>
            <w:r>
              <w:rPr>
                <w:rFonts w:hint="eastAsia" w:ascii="黑体" w:hAnsi="黑体" w:eastAsia="黑体" w:cs="黑体"/>
                <w:b w:val="0"/>
                <w:bCs w:val="0"/>
                <w:color w:val="000000"/>
                <w:sz w:val="24"/>
                <w:szCs w:val="24"/>
                <w:highlight w:val="none"/>
                <w:lang w:val="en-US" w:eastAsia="zh-CN"/>
              </w:rPr>
              <w:t>030006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711" w:type="dxa"/>
          </w:tcPr>
          <w:p>
            <w:pP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地址： </w:t>
            </w:r>
          </w:p>
        </w:tc>
        <w:tc>
          <w:tcPr>
            <w:tcW w:w="3311" w:type="dxa"/>
            <w:gridSpan w:val="2"/>
          </w:tcPr>
          <w:p>
            <w:pP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山西综改示范区太原科技创新城化章北街山西格盟中美清洁能源研发中心有限公司4楼632室</w:t>
            </w:r>
          </w:p>
        </w:tc>
        <w:tc>
          <w:tcPr>
            <w:tcW w:w="247" w:type="dxa"/>
          </w:tcPr>
          <w:p>
            <w:pPr>
              <w:jc w:val="center"/>
              <w:rPr>
                <w:rFonts w:hint="eastAsia" w:ascii="黑体" w:hAnsi="黑体" w:eastAsia="黑体" w:cs="黑体"/>
                <w:b w:val="0"/>
                <w:bCs w:val="0"/>
                <w:color w:val="000000"/>
                <w:sz w:val="24"/>
                <w:szCs w:val="24"/>
                <w:highlight w:val="none"/>
              </w:rPr>
            </w:pPr>
          </w:p>
        </w:tc>
        <w:tc>
          <w:tcPr>
            <w:tcW w:w="708" w:type="dxa"/>
          </w:tcPr>
          <w:p>
            <w:pP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地址：</w:t>
            </w:r>
          </w:p>
        </w:tc>
        <w:tc>
          <w:tcPr>
            <w:tcW w:w="3413" w:type="dxa"/>
            <w:gridSpan w:val="2"/>
          </w:tcPr>
          <w:p>
            <w:pP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val="en-US" w:eastAsia="zh-CN"/>
              </w:rPr>
              <w:t>山西转型综合改革示范区学府产业园长治路251号瑞杰科技A座七层南区</w:t>
            </w:r>
          </w:p>
        </w:tc>
      </w:tr>
    </w:tbl>
    <w:p>
      <w:pPr>
        <w:rPr>
          <w:rStyle w:val="36"/>
          <w:rFonts w:ascii="黑体" w:hAnsi="黑体" w:eastAsia="黑体"/>
          <w:bCs/>
          <w:color w:val="auto"/>
          <w:sz w:val="24"/>
          <w:szCs w:val="24"/>
          <w:highlight w:val="none"/>
        </w:rPr>
      </w:pPr>
    </w:p>
    <w:p>
      <w:pPr>
        <w:spacing w:line="360" w:lineRule="auto"/>
        <w:rPr>
          <w:rFonts w:hint="default" w:ascii="Times New Roman" w:hAnsi="Times New Roman" w:eastAsia="仿宋_GB2312" w:cs="Times New Roman"/>
          <w:color w:val="auto"/>
          <w:sz w:val="28"/>
          <w:highlight w:val="none"/>
        </w:rPr>
      </w:pPr>
    </w:p>
    <w:p>
      <w:pPr>
        <w:spacing w:line="360" w:lineRule="auto"/>
        <w:ind w:left="0" w:firstLine="0" w:firstLineChars="0"/>
        <w:jc w:val="left"/>
        <w:rPr>
          <w:rFonts w:hint="default" w:ascii="Times New Roman" w:hAnsi="Times New Roman" w:eastAsia="仿宋" w:cs="Times New Roman"/>
          <w:color w:val="auto"/>
          <w:sz w:val="28"/>
          <w:highlight w:val="none"/>
          <w:lang w:val="en-US" w:eastAsia="zh-CN"/>
        </w:rPr>
        <w:sectPr>
          <w:footerReference r:id="rId3" w:type="default"/>
          <w:footerReference r:id="rId4" w:type="even"/>
          <w:pgSz w:w="11907" w:h="16840"/>
          <w:pgMar w:top="1304" w:right="1531" w:bottom="1304" w:left="1531" w:header="284" w:footer="851" w:gutter="0"/>
          <w:pgNumType w:start="2"/>
          <w:cols w:space="720" w:num="1"/>
          <w:docGrid w:linePitch="299" w:charSpace="0"/>
        </w:sectPr>
      </w:pPr>
    </w:p>
    <w:p>
      <w:pPr>
        <w:spacing w:beforeLines="100" w:afterLines="100"/>
        <w:jc w:val="center"/>
        <w:rPr>
          <w:b/>
          <w:color w:val="auto"/>
          <w:sz w:val="32"/>
          <w:szCs w:val="32"/>
        </w:rPr>
      </w:pPr>
      <w:r>
        <w:rPr>
          <w:b/>
          <w:color w:val="auto"/>
          <w:sz w:val="32"/>
          <w:szCs w:val="32"/>
        </w:rPr>
        <w:t>目录</w:t>
      </w:r>
    </w:p>
    <w:p>
      <w:pPr>
        <w:pStyle w:val="23"/>
        <w:rPr>
          <w:rFonts w:ascii="Times New Roman" w:hAnsi="Times New Roman" w:eastAsiaTheme="minorEastAsia"/>
          <w:b w:val="0"/>
          <w:color w:val="auto"/>
          <w:sz w:val="24"/>
          <w:szCs w:val="24"/>
        </w:rPr>
      </w:pP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TOC \o "1-1" \h \z \u </w:instrText>
      </w:r>
      <w:r>
        <w:rPr>
          <w:rFonts w:ascii="Times New Roman" w:hAnsi="Times New Roman"/>
          <w:b w:val="0"/>
          <w:color w:val="auto"/>
          <w:sz w:val="24"/>
          <w:szCs w:val="24"/>
        </w:rPr>
        <w:fldChar w:fldCharType="separate"/>
      </w:r>
      <w:r>
        <w:rPr>
          <w:color w:val="auto"/>
        </w:rPr>
        <w:fldChar w:fldCharType="begin"/>
      </w:r>
      <w:r>
        <w:rPr>
          <w:color w:val="auto"/>
        </w:rPr>
        <w:instrText xml:space="preserve"> HYPERLINK \l "_Toc443915681" </w:instrText>
      </w:r>
      <w:r>
        <w:rPr>
          <w:color w:val="auto"/>
        </w:rPr>
        <w:fldChar w:fldCharType="separate"/>
      </w:r>
      <w:r>
        <w:rPr>
          <w:rStyle w:val="36"/>
          <w:rFonts w:ascii="Times New Roman" w:hAnsi="Times New Roman"/>
          <w:b w:val="0"/>
          <w:color w:val="auto"/>
          <w:sz w:val="24"/>
          <w:szCs w:val="24"/>
        </w:rPr>
        <w:t>表1  项目总体情况</w:t>
      </w:r>
      <w:r>
        <w:rPr>
          <w:rFonts w:ascii="Times New Roman" w:hAnsi="Times New Roman"/>
          <w:b w:val="0"/>
          <w:color w:val="auto"/>
          <w:sz w:val="24"/>
          <w:szCs w:val="24"/>
        </w:rPr>
        <w:tab/>
      </w: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PAGEREF _Toc443915681 \h </w:instrText>
      </w:r>
      <w:r>
        <w:rPr>
          <w:rFonts w:ascii="Times New Roman" w:hAnsi="Times New Roman"/>
          <w:b w:val="0"/>
          <w:color w:val="auto"/>
          <w:sz w:val="24"/>
          <w:szCs w:val="24"/>
        </w:rPr>
        <w:fldChar w:fldCharType="separate"/>
      </w:r>
      <w:r>
        <w:rPr>
          <w:rFonts w:ascii="Times New Roman" w:hAnsi="Times New Roman"/>
          <w:b w:val="0"/>
          <w:color w:val="auto"/>
          <w:sz w:val="24"/>
          <w:szCs w:val="24"/>
        </w:rPr>
        <w:t>1</w:t>
      </w:r>
      <w:r>
        <w:rPr>
          <w:rFonts w:ascii="Times New Roman" w:hAnsi="Times New Roman"/>
          <w:b w:val="0"/>
          <w:color w:val="auto"/>
          <w:sz w:val="24"/>
          <w:szCs w:val="24"/>
        </w:rPr>
        <w:fldChar w:fldCharType="end"/>
      </w:r>
      <w:r>
        <w:rPr>
          <w:rFonts w:ascii="Times New Roman" w:hAnsi="Times New Roman"/>
          <w:b w:val="0"/>
          <w:color w:val="auto"/>
          <w:sz w:val="24"/>
          <w:szCs w:val="24"/>
        </w:rPr>
        <w:fldChar w:fldCharType="end"/>
      </w:r>
    </w:p>
    <w:p>
      <w:pPr>
        <w:pStyle w:val="23"/>
        <w:rPr>
          <w:rFonts w:ascii="Times New Roman" w:hAnsi="Times New Roman" w:eastAsiaTheme="minorEastAsia"/>
          <w:b w:val="0"/>
          <w:color w:val="auto"/>
          <w:sz w:val="24"/>
          <w:szCs w:val="24"/>
        </w:rPr>
      </w:pPr>
      <w:r>
        <w:rPr>
          <w:color w:val="auto"/>
        </w:rPr>
        <w:fldChar w:fldCharType="begin"/>
      </w:r>
      <w:r>
        <w:rPr>
          <w:color w:val="auto"/>
        </w:rPr>
        <w:instrText xml:space="preserve"> HYPERLINK \l "_Toc443915682" </w:instrText>
      </w:r>
      <w:r>
        <w:rPr>
          <w:color w:val="auto"/>
        </w:rPr>
        <w:fldChar w:fldCharType="separate"/>
      </w:r>
      <w:r>
        <w:rPr>
          <w:rStyle w:val="36"/>
          <w:rFonts w:ascii="Times New Roman" w:hAnsi="Times New Roman"/>
          <w:b w:val="0"/>
          <w:color w:val="auto"/>
          <w:sz w:val="24"/>
          <w:szCs w:val="24"/>
        </w:rPr>
        <w:t>表2  调查范围、因子、目标、重点</w:t>
      </w:r>
      <w:r>
        <w:rPr>
          <w:rFonts w:ascii="Times New Roman" w:hAnsi="Times New Roman"/>
          <w:b w:val="0"/>
          <w:color w:val="auto"/>
          <w:sz w:val="24"/>
          <w:szCs w:val="24"/>
        </w:rPr>
        <w:tab/>
      </w:r>
      <w:r>
        <w:rPr>
          <w:rFonts w:ascii="Times New Roman" w:hAnsi="Times New Roman"/>
          <w:b w:val="0"/>
          <w:color w:val="auto"/>
          <w:sz w:val="24"/>
          <w:szCs w:val="24"/>
        </w:rPr>
        <w:fldChar w:fldCharType="begin"/>
      </w:r>
      <w:r>
        <w:rPr>
          <w:rFonts w:ascii="Times New Roman" w:hAnsi="Times New Roman"/>
          <w:b w:val="0"/>
          <w:color w:val="auto"/>
          <w:sz w:val="24"/>
          <w:szCs w:val="24"/>
        </w:rPr>
        <w:instrText xml:space="preserve"> PAGEREF _Toc443915682 \h </w:instrText>
      </w:r>
      <w:r>
        <w:rPr>
          <w:rFonts w:ascii="Times New Roman" w:hAnsi="Times New Roman"/>
          <w:b w:val="0"/>
          <w:color w:val="auto"/>
          <w:sz w:val="24"/>
          <w:szCs w:val="24"/>
        </w:rPr>
        <w:fldChar w:fldCharType="separate"/>
      </w:r>
      <w:r>
        <w:rPr>
          <w:rFonts w:ascii="Times New Roman" w:hAnsi="Times New Roman"/>
          <w:b w:val="0"/>
          <w:color w:val="auto"/>
          <w:sz w:val="24"/>
          <w:szCs w:val="24"/>
        </w:rPr>
        <w:t>4</w:t>
      </w:r>
      <w:r>
        <w:rPr>
          <w:rFonts w:ascii="Times New Roman" w:hAnsi="Times New Roman"/>
          <w:b w:val="0"/>
          <w:color w:val="auto"/>
          <w:sz w:val="24"/>
          <w:szCs w:val="24"/>
        </w:rPr>
        <w:fldChar w:fldCharType="end"/>
      </w:r>
      <w:r>
        <w:rPr>
          <w:rFonts w:ascii="Times New Roman" w:hAnsi="Times New Roman"/>
          <w:b w:val="0"/>
          <w:color w:val="auto"/>
          <w:sz w:val="24"/>
          <w:szCs w:val="24"/>
        </w:rPr>
        <w:fldChar w:fldCharType="end"/>
      </w:r>
    </w:p>
    <w:p>
      <w:pPr>
        <w:pStyle w:val="23"/>
        <w:rPr>
          <w:rFonts w:ascii="Times New Roman" w:hAnsi="Times New Roman" w:eastAsiaTheme="minorEastAsia"/>
          <w:b w:val="0"/>
          <w:color w:val="auto"/>
          <w:sz w:val="24"/>
          <w:szCs w:val="24"/>
        </w:rPr>
      </w:pPr>
      <w:r>
        <w:rPr>
          <w:color w:val="auto"/>
        </w:rPr>
        <w:fldChar w:fldCharType="begin"/>
      </w:r>
      <w:r>
        <w:rPr>
          <w:color w:val="auto"/>
        </w:rPr>
        <w:instrText xml:space="preserve"> HYPERLINK \l "_Toc443915683" </w:instrText>
      </w:r>
      <w:r>
        <w:rPr>
          <w:color w:val="auto"/>
        </w:rPr>
        <w:fldChar w:fldCharType="separate"/>
      </w:r>
      <w:r>
        <w:rPr>
          <w:rStyle w:val="36"/>
          <w:rFonts w:ascii="Times New Roman" w:hAnsi="Times New Roman"/>
          <w:b w:val="0"/>
          <w:color w:val="auto"/>
          <w:sz w:val="24"/>
          <w:szCs w:val="24"/>
        </w:rPr>
        <w:t>表3  验收执行标准</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7</w:t>
      </w:r>
      <w:r>
        <w:rPr>
          <w:rFonts w:ascii="Times New Roman" w:hAnsi="Times New Roman"/>
          <w:b w:val="0"/>
          <w:color w:val="auto"/>
          <w:sz w:val="24"/>
          <w:szCs w:val="24"/>
        </w:rPr>
        <w:fldChar w:fldCharType="end"/>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"_Toc443915684" </w:instrText>
      </w:r>
      <w:r>
        <w:rPr>
          <w:color w:val="auto"/>
        </w:rPr>
        <w:fldChar w:fldCharType="separate"/>
      </w:r>
      <w:r>
        <w:rPr>
          <w:rStyle w:val="36"/>
          <w:rFonts w:ascii="Times New Roman" w:hAnsi="Times New Roman"/>
          <w:b w:val="0"/>
          <w:color w:val="auto"/>
          <w:sz w:val="24"/>
          <w:szCs w:val="24"/>
        </w:rPr>
        <w:t>表4  工程概况</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1</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0</w:t>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"_Toc443915685" </w:instrText>
      </w:r>
      <w:r>
        <w:rPr>
          <w:color w:val="auto"/>
        </w:rPr>
        <w:fldChar w:fldCharType="separate"/>
      </w:r>
      <w:r>
        <w:rPr>
          <w:rStyle w:val="36"/>
          <w:rFonts w:ascii="Times New Roman" w:hAnsi="Times New Roman"/>
          <w:b w:val="0"/>
          <w:color w:val="auto"/>
          <w:sz w:val="24"/>
          <w:szCs w:val="24"/>
        </w:rPr>
        <w:t>表5  环境影响评价回顾</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2</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2</w:t>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"_Toc443915686" </w:instrText>
      </w:r>
      <w:r>
        <w:rPr>
          <w:color w:val="auto"/>
        </w:rPr>
        <w:fldChar w:fldCharType="separate"/>
      </w:r>
      <w:r>
        <w:rPr>
          <w:rStyle w:val="36"/>
          <w:rFonts w:ascii="Times New Roman" w:hAnsi="Times New Roman"/>
          <w:b w:val="0"/>
          <w:color w:val="auto"/>
          <w:sz w:val="24"/>
          <w:szCs w:val="24"/>
        </w:rPr>
        <w:t>表6  环保措施执行情况</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3</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1</w:t>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"_Toc443915687" </w:instrText>
      </w:r>
      <w:r>
        <w:rPr>
          <w:color w:val="auto"/>
        </w:rPr>
        <w:fldChar w:fldCharType="separate"/>
      </w:r>
      <w:r>
        <w:rPr>
          <w:rStyle w:val="36"/>
          <w:rFonts w:ascii="Times New Roman" w:hAnsi="Times New Roman"/>
          <w:b w:val="0"/>
          <w:color w:val="auto"/>
          <w:sz w:val="24"/>
          <w:szCs w:val="24"/>
        </w:rPr>
        <w:t>表7  环境影响调查</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3</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7</w:t>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"_Toc443915688" </w:instrText>
      </w:r>
      <w:r>
        <w:rPr>
          <w:color w:val="auto"/>
        </w:rPr>
        <w:fldChar w:fldCharType="separate"/>
      </w:r>
      <w:r>
        <w:rPr>
          <w:rStyle w:val="36"/>
          <w:rFonts w:ascii="Times New Roman" w:hAnsi="Times New Roman"/>
          <w:b w:val="0"/>
          <w:color w:val="auto"/>
          <w:sz w:val="24"/>
          <w:szCs w:val="24"/>
        </w:rPr>
        <w:t>表8  环境质量及污染源监测（附监测图）</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4</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4</w:t>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"_Toc443915689" </w:instrText>
      </w:r>
      <w:r>
        <w:rPr>
          <w:color w:val="auto"/>
        </w:rPr>
        <w:fldChar w:fldCharType="separate"/>
      </w:r>
      <w:r>
        <w:rPr>
          <w:rStyle w:val="36"/>
          <w:rFonts w:ascii="Times New Roman" w:hAnsi="Times New Roman"/>
          <w:b w:val="0"/>
          <w:color w:val="auto"/>
          <w:sz w:val="24"/>
          <w:szCs w:val="24"/>
        </w:rPr>
        <w:t>表9  环境管理状况及监测计划</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4</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7</w:t>
      </w:r>
    </w:p>
    <w:p>
      <w:pPr>
        <w:pStyle w:val="23"/>
        <w:rPr>
          <w:rFonts w:hint="eastAsia" w:ascii="Times New Roman" w:hAnsi="Times New Roman" w:eastAsia="宋体"/>
          <w:b w:val="0"/>
          <w:color w:val="auto"/>
          <w:sz w:val="24"/>
          <w:szCs w:val="24"/>
          <w:lang w:val="en-US" w:eastAsia="zh-CN"/>
        </w:rPr>
      </w:pPr>
      <w:r>
        <w:rPr>
          <w:color w:val="auto"/>
        </w:rPr>
        <w:fldChar w:fldCharType="begin"/>
      </w:r>
      <w:r>
        <w:rPr>
          <w:color w:val="auto"/>
        </w:rPr>
        <w:instrText xml:space="preserve"> HYPERLINK \l "_Toc443915690" </w:instrText>
      </w:r>
      <w:r>
        <w:rPr>
          <w:color w:val="auto"/>
        </w:rPr>
        <w:fldChar w:fldCharType="separate"/>
      </w:r>
      <w:r>
        <w:rPr>
          <w:rStyle w:val="36"/>
          <w:rFonts w:ascii="Times New Roman" w:hAnsi="Times New Roman"/>
          <w:b w:val="0"/>
          <w:color w:val="auto"/>
          <w:sz w:val="24"/>
          <w:szCs w:val="24"/>
        </w:rPr>
        <w:t>表10  调查结论与建议</w:t>
      </w:r>
      <w:r>
        <w:rPr>
          <w:rFonts w:ascii="Times New Roman" w:hAnsi="Times New Roman"/>
          <w:b w:val="0"/>
          <w:color w:val="auto"/>
          <w:sz w:val="24"/>
          <w:szCs w:val="24"/>
        </w:rPr>
        <w:tab/>
      </w:r>
      <w:r>
        <w:rPr>
          <w:rFonts w:hint="eastAsia" w:ascii="Times New Roman" w:hAnsi="Times New Roman"/>
          <w:b w:val="0"/>
          <w:color w:val="auto"/>
          <w:sz w:val="24"/>
          <w:szCs w:val="24"/>
          <w:lang w:val="en-US" w:eastAsia="zh-CN"/>
        </w:rPr>
        <w:t>4</w:t>
      </w:r>
      <w:r>
        <w:rPr>
          <w:rFonts w:ascii="Times New Roman" w:hAnsi="Times New Roman"/>
          <w:b w:val="0"/>
          <w:color w:val="auto"/>
          <w:sz w:val="24"/>
          <w:szCs w:val="24"/>
        </w:rPr>
        <w:fldChar w:fldCharType="end"/>
      </w:r>
      <w:r>
        <w:rPr>
          <w:rFonts w:hint="eastAsia" w:ascii="Times New Roman" w:hAnsi="Times New Roman"/>
          <w:b w:val="0"/>
          <w:color w:val="auto"/>
          <w:sz w:val="24"/>
          <w:szCs w:val="24"/>
          <w:lang w:val="en-US" w:eastAsia="zh-CN"/>
        </w:rPr>
        <w:t>8</w:t>
      </w:r>
    </w:p>
    <w:p>
      <w:pPr>
        <w:spacing w:line="420" w:lineRule="exact"/>
        <w:rPr>
          <w:color w:val="auto"/>
          <w:sz w:val="24"/>
        </w:rPr>
      </w:pPr>
      <w:r>
        <w:rPr>
          <w:color w:val="auto"/>
          <w:sz w:val="24"/>
        </w:rPr>
        <w:fldChar w:fldCharType="end"/>
      </w:r>
      <w:r>
        <w:rPr>
          <w:color w:val="auto"/>
          <w:sz w:val="24"/>
        </w:rPr>
        <w:t>附图一：项目地理位置图</w:t>
      </w:r>
    </w:p>
    <w:p>
      <w:pPr>
        <w:spacing w:line="420" w:lineRule="exact"/>
        <w:rPr>
          <w:color w:val="auto"/>
          <w:sz w:val="24"/>
        </w:rPr>
      </w:pPr>
      <w:r>
        <w:rPr>
          <w:color w:val="auto"/>
          <w:sz w:val="24"/>
        </w:rPr>
        <w:t>附图二：与保护目标关系图</w:t>
      </w:r>
    </w:p>
    <w:p>
      <w:pPr>
        <w:spacing w:line="420" w:lineRule="exact"/>
        <w:rPr>
          <w:color w:val="auto"/>
          <w:sz w:val="24"/>
        </w:rPr>
      </w:pPr>
      <w:r>
        <w:rPr>
          <w:color w:val="auto"/>
          <w:sz w:val="24"/>
        </w:rPr>
        <w:t>附图三：实际管线路由与环评管线路由的对比图</w:t>
      </w:r>
    </w:p>
    <w:p>
      <w:pPr>
        <w:spacing w:line="420" w:lineRule="exact"/>
        <w:rPr>
          <w:color w:val="auto"/>
          <w:sz w:val="24"/>
        </w:rPr>
      </w:pPr>
      <w:r>
        <w:rPr>
          <w:color w:val="auto"/>
          <w:sz w:val="24"/>
        </w:rPr>
        <w:t>附图</w:t>
      </w:r>
      <w:r>
        <w:rPr>
          <w:rFonts w:hint="eastAsia"/>
          <w:color w:val="auto"/>
          <w:sz w:val="24"/>
        </w:rPr>
        <w:t>四</w:t>
      </w:r>
      <w:r>
        <w:rPr>
          <w:color w:val="auto"/>
          <w:sz w:val="24"/>
        </w:rPr>
        <w:t>：</w:t>
      </w:r>
      <w:r>
        <w:rPr>
          <w:rFonts w:hint="eastAsia"/>
          <w:color w:val="auto"/>
          <w:sz w:val="24"/>
        </w:rPr>
        <w:t>改线段</w:t>
      </w:r>
      <w:r>
        <w:rPr>
          <w:color w:val="auto"/>
          <w:sz w:val="24"/>
        </w:rPr>
        <w:t>管线路由的对比图</w:t>
      </w:r>
    </w:p>
    <w:p>
      <w:pPr>
        <w:spacing w:line="420" w:lineRule="exact"/>
        <w:rPr>
          <w:color w:val="auto"/>
          <w:sz w:val="24"/>
        </w:rPr>
      </w:pPr>
      <w:r>
        <w:rPr>
          <w:color w:val="auto"/>
          <w:sz w:val="24"/>
        </w:rPr>
        <w:t>附图</w:t>
      </w:r>
      <w:r>
        <w:rPr>
          <w:rFonts w:hint="eastAsia"/>
          <w:color w:val="auto"/>
          <w:sz w:val="24"/>
        </w:rPr>
        <w:t>五</w:t>
      </w:r>
      <w:r>
        <w:rPr>
          <w:color w:val="auto"/>
          <w:sz w:val="24"/>
        </w:rPr>
        <w:t>：</w:t>
      </w:r>
      <w:r>
        <w:rPr>
          <w:rFonts w:hint="eastAsia"/>
          <w:color w:val="auto"/>
          <w:sz w:val="24"/>
        </w:rPr>
        <w:t>保德首站</w:t>
      </w:r>
      <w:r>
        <w:rPr>
          <w:color w:val="auto"/>
          <w:sz w:val="24"/>
        </w:rPr>
        <w:t>平面布置图</w:t>
      </w:r>
    </w:p>
    <w:p>
      <w:pPr>
        <w:spacing w:line="420" w:lineRule="exact"/>
        <w:rPr>
          <w:color w:val="auto"/>
          <w:sz w:val="24"/>
        </w:rPr>
      </w:pPr>
      <w:r>
        <w:rPr>
          <w:color w:val="auto"/>
          <w:sz w:val="24"/>
        </w:rPr>
        <w:t>附件一：环评批复</w:t>
      </w:r>
    </w:p>
    <w:p>
      <w:pPr>
        <w:spacing w:line="420" w:lineRule="exact"/>
        <w:rPr>
          <w:color w:val="auto"/>
          <w:sz w:val="24"/>
        </w:rPr>
      </w:pPr>
      <w:r>
        <w:rPr>
          <w:rFonts w:hint="eastAsia"/>
          <w:color w:val="auto"/>
          <w:sz w:val="24"/>
        </w:rPr>
        <w:t>附件二</w:t>
      </w:r>
      <w:r>
        <w:rPr>
          <w:rFonts w:hint="eastAsia"/>
          <w:color w:val="auto"/>
          <w:sz w:val="24"/>
          <w:lang w:eastAsia="zh-CN"/>
        </w:rPr>
        <w:t>：</w:t>
      </w:r>
      <w:r>
        <w:rPr>
          <w:rFonts w:hint="eastAsia"/>
          <w:color w:val="auto"/>
          <w:sz w:val="24"/>
        </w:rPr>
        <w:t>保德—三岔输气管道工程环评</w:t>
      </w:r>
    </w:p>
    <w:p>
      <w:pPr>
        <w:spacing w:line="420" w:lineRule="exact"/>
        <w:rPr>
          <w:color w:val="auto"/>
          <w:sz w:val="24"/>
        </w:rPr>
      </w:pPr>
      <w:r>
        <w:rPr>
          <w:color w:val="auto"/>
          <w:sz w:val="24"/>
        </w:rPr>
        <w:t>附件</w:t>
      </w:r>
      <w:r>
        <w:rPr>
          <w:rFonts w:hint="eastAsia"/>
          <w:color w:val="auto"/>
          <w:sz w:val="24"/>
          <w:lang w:val="en-US" w:eastAsia="zh-CN"/>
        </w:rPr>
        <w:t>三</w:t>
      </w:r>
      <w:r>
        <w:rPr>
          <w:color w:val="auto"/>
          <w:sz w:val="24"/>
        </w:rPr>
        <w:t>：</w:t>
      </w:r>
      <w:r>
        <w:rPr>
          <w:rFonts w:hint="eastAsia"/>
          <w:color w:val="auto"/>
          <w:sz w:val="24"/>
        </w:rPr>
        <w:t>保德—三岔输气管道工程</w:t>
      </w:r>
      <w:r>
        <w:rPr>
          <w:rFonts w:hint="eastAsia"/>
          <w:color w:val="auto"/>
          <w:sz w:val="24"/>
          <w:lang w:val="en-US" w:eastAsia="zh-CN"/>
        </w:rPr>
        <w:t>验收意见</w:t>
      </w:r>
    </w:p>
    <w:p>
      <w:pPr>
        <w:spacing w:line="420" w:lineRule="exact"/>
        <w:rPr>
          <w:rFonts w:hint="eastAsia"/>
          <w:color w:val="auto"/>
          <w:sz w:val="24"/>
          <w:lang w:val="en-US" w:eastAsia="zh-CN"/>
        </w:rPr>
      </w:pPr>
      <w:r>
        <w:rPr>
          <w:rFonts w:hint="eastAsia"/>
          <w:color w:val="auto"/>
          <w:sz w:val="24"/>
          <w:lang w:val="en-US" w:eastAsia="zh-CN"/>
        </w:rPr>
        <w:t>附件四：</w:t>
      </w:r>
      <w:r>
        <w:rPr>
          <w:rFonts w:hint="eastAsia"/>
          <w:color w:val="auto"/>
          <w:sz w:val="24"/>
        </w:rPr>
        <w:t>危废</w:t>
      </w:r>
      <w:r>
        <w:rPr>
          <w:rFonts w:hint="eastAsia"/>
          <w:color w:val="auto"/>
          <w:sz w:val="24"/>
          <w:lang w:val="en-US" w:eastAsia="zh-CN"/>
        </w:rPr>
        <w:t>处置</w:t>
      </w:r>
      <w:r>
        <w:rPr>
          <w:rFonts w:hint="eastAsia"/>
          <w:color w:val="auto"/>
          <w:sz w:val="24"/>
        </w:rPr>
        <w:t>协议</w:t>
      </w:r>
      <w:r>
        <w:rPr>
          <w:rFonts w:hint="eastAsia"/>
          <w:color w:val="auto"/>
          <w:sz w:val="24"/>
          <w:lang w:val="en-US" w:eastAsia="zh-CN"/>
        </w:rPr>
        <w:t>及危废处置资质</w:t>
      </w:r>
    </w:p>
    <w:p>
      <w:pPr>
        <w:spacing w:line="420" w:lineRule="exact"/>
        <w:rPr>
          <w:color w:val="auto"/>
          <w:sz w:val="24"/>
        </w:rPr>
      </w:pPr>
      <w:r>
        <w:rPr>
          <w:color w:val="auto"/>
          <w:sz w:val="24"/>
        </w:rPr>
        <w:t>附件</w:t>
      </w:r>
      <w:r>
        <w:rPr>
          <w:rFonts w:hint="eastAsia"/>
          <w:color w:val="auto"/>
          <w:sz w:val="24"/>
          <w:lang w:val="en-US" w:eastAsia="zh-CN"/>
        </w:rPr>
        <w:t>五</w:t>
      </w:r>
      <w:r>
        <w:rPr>
          <w:color w:val="auto"/>
          <w:sz w:val="24"/>
        </w:rPr>
        <w:t>：监测报告</w:t>
      </w:r>
    </w:p>
    <w:p>
      <w:pPr>
        <w:spacing w:line="420" w:lineRule="exact"/>
        <w:rPr>
          <w:rFonts w:hint="eastAsia"/>
          <w:color w:val="auto"/>
          <w:sz w:val="24"/>
          <w:lang w:val="en-US" w:eastAsia="zh-CN"/>
        </w:rPr>
      </w:pPr>
      <w:r>
        <w:rPr>
          <w:rFonts w:hint="eastAsia"/>
          <w:color w:val="auto"/>
          <w:sz w:val="24"/>
          <w:lang w:val="en-US" w:eastAsia="zh-CN"/>
        </w:rPr>
        <w:t>附件六：公示说明</w:t>
      </w:r>
    </w:p>
    <w:p>
      <w:pPr>
        <w:spacing w:line="420" w:lineRule="exact"/>
        <w:rPr>
          <w:rFonts w:hint="eastAsia"/>
          <w:color w:val="auto"/>
          <w:sz w:val="24"/>
          <w:lang w:val="en-US" w:eastAsia="zh-CN"/>
        </w:rPr>
      </w:pPr>
      <w:r>
        <w:rPr>
          <w:rFonts w:hint="eastAsia"/>
          <w:color w:val="auto"/>
          <w:sz w:val="24"/>
          <w:lang w:val="en-US" w:eastAsia="zh-CN"/>
        </w:rPr>
        <w:t>附件七：应急预案备案登记表</w:t>
      </w:r>
    </w:p>
    <w:p>
      <w:pPr>
        <w:spacing w:line="420" w:lineRule="exact"/>
        <w:rPr>
          <w:color w:val="auto"/>
          <w:sz w:val="24"/>
        </w:rPr>
      </w:pPr>
      <w:r>
        <w:rPr>
          <w:color w:val="auto"/>
          <w:sz w:val="24"/>
        </w:rPr>
        <w:t>附表：验收登记表</w:t>
      </w:r>
    </w:p>
    <w:p>
      <w:pPr>
        <w:spacing w:before="100" w:beforeAutospacing="1" w:after="100" w:afterAutospacing="1"/>
        <w:rPr>
          <w:color w:val="auto"/>
          <w:sz w:val="24"/>
        </w:rPr>
        <w:sectPr>
          <w:pgSz w:w="11907" w:h="16840"/>
          <w:pgMar w:top="1418" w:right="1418" w:bottom="1418" w:left="1418" w:header="851" w:footer="964" w:gutter="0"/>
          <w:pgNumType w:start="1"/>
          <w:cols w:space="425" w:num="1"/>
          <w:docGrid w:type="linesAndChars" w:linePitch="312" w:charSpace="0"/>
        </w:sectPr>
      </w:pPr>
    </w:p>
    <w:p>
      <w:pPr>
        <w:pStyle w:val="4"/>
        <w:spacing w:before="156" w:after="156"/>
        <w:rPr>
          <w:rFonts w:ascii="Times New Roman"/>
          <w:sz w:val="30"/>
          <w:szCs w:val="30"/>
        </w:rPr>
      </w:pPr>
      <w:bookmarkStart w:id="8" w:name="_Toc443915681"/>
      <w:r>
        <w:rPr>
          <w:rFonts w:ascii="Times New Roman"/>
          <w:sz w:val="30"/>
          <w:szCs w:val="30"/>
        </w:rPr>
        <w:t>表1  项目总体情况</w:t>
      </w:r>
      <w:bookmarkEnd w:id="0"/>
      <w:bookmarkEnd w:id="1"/>
      <w:bookmarkEnd w:id="2"/>
      <w:bookmarkEnd w:id="3"/>
      <w:bookmarkEnd w:id="4"/>
      <w:bookmarkEnd w:id="5"/>
      <w:bookmarkEnd w:id="6"/>
      <w:bookmarkEnd w:id="7"/>
      <w:bookmarkEnd w:id="8"/>
    </w:p>
    <w:tbl>
      <w:tblPr>
        <w:tblStyle w:val="32"/>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4"/>
        <w:gridCol w:w="1672"/>
        <w:gridCol w:w="995"/>
        <w:gridCol w:w="141"/>
        <w:gridCol w:w="285"/>
        <w:gridCol w:w="1066"/>
        <w:gridCol w:w="688"/>
        <w:gridCol w:w="1216"/>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建设项目名称</w:t>
            </w:r>
          </w:p>
        </w:tc>
        <w:tc>
          <w:tcPr>
            <w:tcW w:w="7263" w:type="dxa"/>
            <w:gridSpan w:val="8"/>
            <w:vAlign w:val="center"/>
          </w:tcPr>
          <w:p>
            <w:pPr>
              <w:spacing w:line="0" w:lineRule="atLeast"/>
              <w:jc w:val="center"/>
              <w:rPr>
                <w:rFonts w:hint="eastAsia"/>
                <w:sz w:val="24"/>
                <w:lang w:val="en-US" w:eastAsia="zh-CN"/>
              </w:rPr>
            </w:pPr>
            <w:r>
              <w:rPr>
                <w:rFonts w:hint="eastAsia"/>
                <w:sz w:val="24"/>
                <w:lang w:val="en-US" w:eastAsia="zh-CN"/>
              </w:rPr>
              <w:t>太长线鸣谦分输站—鄂安沧忻州分输站输气联络线</w:t>
            </w:r>
          </w:p>
          <w:p>
            <w:pPr>
              <w:spacing w:line="0" w:lineRule="atLeast"/>
              <w:jc w:val="center"/>
              <w:rPr>
                <w:sz w:val="24"/>
              </w:rPr>
            </w:pPr>
            <w:r>
              <w:rPr>
                <w:rFonts w:hint="eastAsia"/>
                <w:sz w:val="24"/>
                <w:lang w:val="en-US" w:eastAsia="zh-CN"/>
              </w:rPr>
              <w:t>工程项目（一期工程）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建设单位</w:t>
            </w:r>
          </w:p>
        </w:tc>
        <w:tc>
          <w:tcPr>
            <w:tcW w:w="7263" w:type="dxa"/>
            <w:gridSpan w:val="8"/>
            <w:vAlign w:val="center"/>
          </w:tcPr>
          <w:p>
            <w:pPr>
              <w:spacing w:line="0" w:lineRule="atLeast"/>
              <w:jc w:val="center"/>
              <w:rPr>
                <w:b/>
                <w:sz w:val="30"/>
                <w:szCs w:val="30"/>
              </w:rPr>
            </w:pPr>
            <w:r>
              <w:rPr>
                <w:rFonts w:hint="eastAsia" w:ascii="Times New Roman" w:hAnsi="Times New Roman" w:eastAsia="宋体" w:cs="Times New Roman"/>
                <w:sz w:val="24"/>
                <w:lang w:val="en-US" w:eastAsia="zh-CN"/>
              </w:rPr>
              <w:t>山西国化能源有限责任公司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法人代表</w:t>
            </w:r>
          </w:p>
        </w:tc>
        <w:tc>
          <w:tcPr>
            <w:tcW w:w="2808" w:type="dxa"/>
            <w:gridSpan w:val="3"/>
            <w:vAlign w:val="center"/>
          </w:tcPr>
          <w:p>
            <w:pPr>
              <w:spacing w:line="0" w:lineRule="atLeast"/>
              <w:jc w:val="center"/>
              <w:rPr>
                <w:sz w:val="24"/>
              </w:rPr>
            </w:pPr>
            <w:r>
              <w:rPr>
                <w:sz w:val="24"/>
              </w:rPr>
              <w:t>聂银杉</w:t>
            </w:r>
          </w:p>
        </w:tc>
        <w:tc>
          <w:tcPr>
            <w:tcW w:w="2039" w:type="dxa"/>
            <w:gridSpan w:val="3"/>
            <w:vAlign w:val="center"/>
          </w:tcPr>
          <w:p>
            <w:pPr>
              <w:spacing w:line="0" w:lineRule="atLeast"/>
              <w:jc w:val="center"/>
              <w:rPr>
                <w:b/>
                <w:sz w:val="24"/>
              </w:rPr>
            </w:pPr>
            <w:r>
              <w:rPr>
                <w:b/>
                <w:sz w:val="24"/>
              </w:rPr>
              <w:t>联系人</w:t>
            </w:r>
          </w:p>
        </w:tc>
        <w:tc>
          <w:tcPr>
            <w:tcW w:w="2416" w:type="dxa"/>
            <w:gridSpan w:val="2"/>
            <w:vAlign w:val="center"/>
          </w:tcPr>
          <w:p>
            <w:pPr>
              <w:spacing w:line="0" w:lineRule="atLeast"/>
              <w:jc w:val="center"/>
              <w:rPr>
                <w:rFonts w:hint="eastAsia" w:eastAsia="宋体"/>
                <w:sz w:val="24"/>
                <w:lang w:eastAsia="zh-CN"/>
              </w:rPr>
            </w:pPr>
            <w:r>
              <w:rPr>
                <w:rFonts w:hint="eastAsia" w:eastAsia="宋体"/>
                <w:sz w:val="24"/>
                <w:lang w:val="en-US" w:eastAsia="zh-CN"/>
              </w:rPr>
              <w:t>李凯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通信地址</w:t>
            </w:r>
          </w:p>
        </w:tc>
        <w:tc>
          <w:tcPr>
            <w:tcW w:w="7263" w:type="dxa"/>
            <w:gridSpan w:val="8"/>
            <w:vAlign w:val="center"/>
          </w:tcPr>
          <w:p>
            <w:pPr>
              <w:spacing w:line="0" w:lineRule="atLeast"/>
              <w:jc w:val="center"/>
              <w:rPr>
                <w:sz w:val="24"/>
              </w:rPr>
            </w:pPr>
            <w:r>
              <w:rPr>
                <w:rFonts w:hint="eastAsia"/>
                <w:sz w:val="24"/>
              </w:rPr>
              <w:t>山西综改示范区太原科技创新城化章北街山西格盟中美清洁能源研发中心有限公司4楼632室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联系电话</w:t>
            </w:r>
          </w:p>
        </w:tc>
        <w:tc>
          <w:tcPr>
            <w:tcW w:w="1672" w:type="dxa"/>
            <w:vAlign w:val="center"/>
          </w:tcPr>
          <w:p>
            <w:pPr>
              <w:spacing w:line="0" w:lineRule="atLeast"/>
              <w:jc w:val="center"/>
              <w:rPr>
                <w:rFonts w:eastAsia="仿宋_GB2312"/>
                <w:sz w:val="24"/>
              </w:rPr>
            </w:pPr>
            <w:r>
              <w:rPr>
                <w:rFonts w:hint="default" w:eastAsia="仿宋_GB2312"/>
                <w:sz w:val="24"/>
                <w:lang w:val="en-US" w:eastAsia="zh-CN"/>
              </w:rPr>
              <w:t>18834133393</w:t>
            </w:r>
          </w:p>
        </w:tc>
        <w:tc>
          <w:tcPr>
            <w:tcW w:w="1136" w:type="dxa"/>
            <w:gridSpan w:val="2"/>
            <w:vAlign w:val="center"/>
          </w:tcPr>
          <w:p>
            <w:pPr>
              <w:spacing w:line="0" w:lineRule="atLeast"/>
              <w:jc w:val="center"/>
              <w:rPr>
                <w:b/>
                <w:sz w:val="24"/>
              </w:rPr>
            </w:pPr>
            <w:r>
              <w:rPr>
                <w:b/>
                <w:sz w:val="24"/>
              </w:rPr>
              <w:t>传真</w:t>
            </w:r>
          </w:p>
        </w:tc>
        <w:tc>
          <w:tcPr>
            <w:tcW w:w="2039" w:type="dxa"/>
            <w:gridSpan w:val="3"/>
            <w:vAlign w:val="center"/>
          </w:tcPr>
          <w:p>
            <w:pPr>
              <w:jc w:val="center"/>
              <w:rPr>
                <w:rFonts w:hint="eastAsia" w:eastAsia="宋体"/>
                <w:sz w:val="24"/>
                <w:lang w:eastAsia="zh-CN"/>
              </w:rPr>
            </w:pPr>
            <w:r>
              <w:rPr>
                <w:rFonts w:hint="eastAsia"/>
                <w:sz w:val="24"/>
                <w:lang w:val="en-US" w:eastAsia="zh-CN"/>
              </w:rPr>
              <w:t>/</w:t>
            </w:r>
          </w:p>
        </w:tc>
        <w:tc>
          <w:tcPr>
            <w:tcW w:w="1216" w:type="dxa"/>
            <w:vAlign w:val="center"/>
          </w:tcPr>
          <w:p>
            <w:pPr>
              <w:spacing w:line="0" w:lineRule="atLeast"/>
              <w:jc w:val="center"/>
              <w:rPr>
                <w:b/>
                <w:sz w:val="24"/>
              </w:rPr>
            </w:pPr>
            <w:r>
              <w:rPr>
                <w:b/>
                <w:sz w:val="24"/>
              </w:rPr>
              <w:t>邮编</w:t>
            </w:r>
          </w:p>
        </w:tc>
        <w:tc>
          <w:tcPr>
            <w:tcW w:w="1200" w:type="dxa"/>
            <w:vAlign w:val="center"/>
          </w:tcPr>
          <w:p>
            <w:pPr>
              <w:spacing w:line="0" w:lineRule="atLeast"/>
              <w:jc w:val="center"/>
              <w:rPr>
                <w:sz w:val="24"/>
              </w:rPr>
            </w:pPr>
            <w:r>
              <w:rPr>
                <w:rFonts w:hint="eastAsia"/>
                <w:sz w:val="24"/>
              </w:rPr>
              <w:t>032699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建设地点</w:t>
            </w:r>
          </w:p>
        </w:tc>
        <w:tc>
          <w:tcPr>
            <w:tcW w:w="7263" w:type="dxa"/>
            <w:gridSpan w:val="8"/>
            <w:vAlign w:val="center"/>
          </w:tcPr>
          <w:p>
            <w:pPr>
              <w:spacing w:line="0" w:lineRule="atLeast"/>
              <w:jc w:val="center"/>
              <w:rPr>
                <w:sz w:val="24"/>
              </w:rPr>
            </w:pPr>
            <w:r>
              <w:rPr>
                <w:rFonts w:hint="eastAsia"/>
                <w:sz w:val="24"/>
                <w:lang w:val="en-US" w:eastAsia="zh-CN"/>
              </w:rPr>
              <w:t>晋中</w:t>
            </w:r>
            <w:r>
              <w:rPr>
                <w:rFonts w:hint="eastAsia"/>
                <w:sz w:val="24"/>
              </w:rPr>
              <w:t>市</w:t>
            </w:r>
            <w:r>
              <w:rPr>
                <w:rFonts w:hint="eastAsia"/>
                <w:sz w:val="24"/>
                <w:lang w:val="en-US" w:eastAsia="zh-CN"/>
              </w:rPr>
              <w:t>榆次</w:t>
            </w:r>
            <w:r>
              <w:rPr>
                <w:rFonts w:hint="eastAsia"/>
                <w:sz w:val="24"/>
              </w:rPr>
              <w:t>区</w:t>
            </w:r>
            <w:r>
              <w:rPr>
                <w:rFonts w:hint="eastAsia"/>
                <w:sz w:val="24"/>
                <w:lang w:val="en-US" w:eastAsia="zh-CN"/>
              </w:rPr>
              <w:t>乌金山镇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项目性质</w:t>
            </w:r>
          </w:p>
        </w:tc>
        <w:tc>
          <w:tcPr>
            <w:tcW w:w="2808" w:type="dxa"/>
            <w:gridSpan w:val="3"/>
            <w:vAlign w:val="center"/>
          </w:tcPr>
          <w:p>
            <w:pPr>
              <w:spacing w:line="0" w:lineRule="atLeast"/>
              <w:jc w:val="center"/>
              <w:rPr>
                <w:sz w:val="24"/>
              </w:rPr>
            </w:pPr>
            <w:r>
              <w:rPr>
                <w:sz w:val="24"/>
              </w:rPr>
              <w:t>新建</w:t>
            </w:r>
            <w:r>
              <w:rPr>
                <w:b/>
                <w:sz w:val="24"/>
              </w:rPr>
              <w:t>√</w:t>
            </w:r>
            <w:r>
              <w:rPr>
                <w:sz w:val="24"/>
              </w:rPr>
              <w:t>改扩建□技改□</w:t>
            </w:r>
          </w:p>
        </w:tc>
        <w:tc>
          <w:tcPr>
            <w:tcW w:w="2039" w:type="dxa"/>
            <w:gridSpan w:val="3"/>
            <w:vAlign w:val="center"/>
          </w:tcPr>
          <w:p>
            <w:pPr>
              <w:spacing w:line="0" w:lineRule="atLeast"/>
              <w:jc w:val="center"/>
              <w:rPr>
                <w:b/>
                <w:sz w:val="24"/>
              </w:rPr>
            </w:pPr>
            <w:r>
              <w:rPr>
                <w:b/>
                <w:sz w:val="24"/>
              </w:rPr>
              <w:t>行业类别</w:t>
            </w:r>
          </w:p>
        </w:tc>
        <w:tc>
          <w:tcPr>
            <w:tcW w:w="2416" w:type="dxa"/>
            <w:gridSpan w:val="2"/>
            <w:vAlign w:val="center"/>
          </w:tcPr>
          <w:p>
            <w:pPr>
              <w:spacing w:line="0" w:lineRule="atLeast"/>
              <w:jc w:val="center"/>
              <w:rPr>
                <w:sz w:val="24"/>
              </w:rPr>
            </w:pPr>
            <w:r>
              <w:rPr>
                <w:rFonts w:hint="eastAsia"/>
                <w:sz w:val="24"/>
                <w:lang w:val="en-US" w:eastAsia="zh-CN"/>
              </w:rPr>
              <w:t>D4511天然气生产和供应业</w:t>
            </w:r>
            <w:r>
              <w:rPr>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环评报告表名称</w:t>
            </w:r>
          </w:p>
        </w:tc>
        <w:tc>
          <w:tcPr>
            <w:tcW w:w="7263" w:type="dxa"/>
            <w:gridSpan w:val="8"/>
            <w:vAlign w:val="center"/>
          </w:tcPr>
          <w:p>
            <w:pPr>
              <w:spacing w:line="0" w:lineRule="atLeast"/>
              <w:jc w:val="center"/>
              <w:rPr>
                <w:rFonts w:hint="eastAsia"/>
                <w:color w:val="000000"/>
                <w:sz w:val="24"/>
                <w:lang w:val="en-US" w:eastAsia="zh-CN"/>
              </w:rPr>
            </w:pPr>
            <w:r>
              <w:rPr>
                <w:rFonts w:hint="eastAsia"/>
                <w:color w:val="000000"/>
                <w:sz w:val="24"/>
                <w:lang w:val="en-US" w:eastAsia="zh-CN"/>
              </w:rPr>
              <w:t>太长线鸣谦分输站—鄂安沧忻州分输站输气联络线</w:t>
            </w:r>
          </w:p>
          <w:p>
            <w:pPr>
              <w:spacing w:line="0" w:lineRule="atLeast"/>
              <w:jc w:val="center"/>
              <w:rPr>
                <w:color w:val="000000"/>
                <w:sz w:val="24"/>
              </w:rPr>
            </w:pPr>
            <w:r>
              <w:rPr>
                <w:rFonts w:hint="eastAsia"/>
                <w:color w:val="000000"/>
                <w:sz w:val="24"/>
                <w:lang w:val="en-US" w:eastAsia="zh-CN"/>
              </w:rPr>
              <w:t>工程项目</w:t>
            </w:r>
            <w:r>
              <w:rPr>
                <w:color w:val="000000"/>
                <w:sz w:val="24"/>
              </w:rPr>
              <w:t>环境影响报告表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项目环评单位</w:t>
            </w:r>
          </w:p>
        </w:tc>
        <w:tc>
          <w:tcPr>
            <w:tcW w:w="7263" w:type="dxa"/>
            <w:gridSpan w:val="8"/>
            <w:vAlign w:val="center"/>
          </w:tcPr>
          <w:p>
            <w:pPr>
              <w:spacing w:line="0" w:lineRule="atLeast"/>
              <w:jc w:val="center"/>
              <w:rPr>
                <w:rFonts w:hint="eastAsia" w:eastAsia="宋体"/>
                <w:color w:val="000000"/>
                <w:sz w:val="24"/>
                <w:lang w:eastAsia="zh-CN"/>
              </w:rPr>
            </w:pPr>
            <w:r>
              <w:rPr>
                <w:rFonts w:hint="eastAsia"/>
                <w:color w:val="000000"/>
                <w:sz w:val="24"/>
                <w:lang w:eastAsia="zh-CN"/>
              </w:rPr>
              <w:t>北京绿方舟科技有限责任公司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项目设计单位</w:t>
            </w:r>
          </w:p>
        </w:tc>
        <w:tc>
          <w:tcPr>
            <w:tcW w:w="7263" w:type="dxa"/>
            <w:gridSpan w:val="8"/>
            <w:vAlign w:val="center"/>
          </w:tcPr>
          <w:p>
            <w:pPr>
              <w:spacing w:line="0" w:lineRule="atLeast"/>
              <w:jc w:val="center"/>
              <w:rPr>
                <w:sz w:val="24"/>
              </w:rPr>
            </w:pPr>
            <w:r>
              <w:rPr>
                <w:sz w:val="24"/>
              </w:rPr>
              <w:t>中国市政工程华北设计研究总院有限公司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环评审批部门</w:t>
            </w:r>
          </w:p>
        </w:tc>
        <w:tc>
          <w:tcPr>
            <w:tcW w:w="1672" w:type="dxa"/>
            <w:vAlign w:val="center"/>
          </w:tcPr>
          <w:p>
            <w:pPr>
              <w:spacing w:line="0" w:lineRule="atLeast"/>
              <w:ind w:hanging="105"/>
              <w:jc w:val="center"/>
              <w:rPr>
                <w:rFonts w:hint="eastAsia" w:eastAsia="宋体"/>
                <w:spacing w:val="-10"/>
                <w:sz w:val="24"/>
                <w:lang w:eastAsia="zh-CN"/>
              </w:rPr>
            </w:pPr>
            <w:r>
              <w:rPr>
                <w:spacing w:val="-10"/>
                <w:sz w:val="24"/>
              </w:rPr>
              <w:t>山西省</w:t>
            </w:r>
            <w:r>
              <w:rPr>
                <w:rFonts w:hint="eastAsia"/>
                <w:spacing w:val="-10"/>
                <w:sz w:val="24"/>
                <w:lang w:eastAsia="zh-CN"/>
              </w:rPr>
              <w:t>生态环境保护厅</w:t>
            </w:r>
          </w:p>
        </w:tc>
        <w:tc>
          <w:tcPr>
            <w:tcW w:w="995" w:type="dxa"/>
            <w:vAlign w:val="center"/>
          </w:tcPr>
          <w:p>
            <w:pPr>
              <w:spacing w:line="0" w:lineRule="atLeast"/>
              <w:jc w:val="center"/>
              <w:rPr>
                <w:b/>
                <w:sz w:val="24"/>
              </w:rPr>
            </w:pPr>
            <w:r>
              <w:rPr>
                <w:b/>
                <w:sz w:val="24"/>
              </w:rPr>
              <w:t>文号</w:t>
            </w:r>
          </w:p>
        </w:tc>
        <w:tc>
          <w:tcPr>
            <w:tcW w:w="2180" w:type="dxa"/>
            <w:gridSpan w:val="4"/>
            <w:vAlign w:val="center"/>
          </w:tcPr>
          <w:p>
            <w:pPr>
              <w:spacing w:line="0" w:lineRule="atLeast"/>
              <w:jc w:val="center"/>
            </w:pPr>
            <w:r>
              <w:t>晋</w:t>
            </w:r>
            <w:r>
              <w:rPr>
                <w:rFonts w:hint="eastAsia"/>
              </w:rPr>
              <w:t>环</w:t>
            </w:r>
            <w:r>
              <w:rPr>
                <w:rFonts w:hint="eastAsia"/>
                <w:lang w:eastAsia="zh-CN"/>
              </w:rPr>
              <w:t>审批</w:t>
            </w:r>
            <w:r>
              <w:t>函[20</w:t>
            </w:r>
            <w:r>
              <w:rPr>
                <w:rFonts w:hint="eastAsia"/>
                <w:lang w:val="en-US" w:eastAsia="zh-CN"/>
              </w:rPr>
              <w:t>18</w:t>
            </w:r>
            <w:r>
              <w:t>]</w:t>
            </w:r>
            <w:r>
              <w:rPr>
                <w:rFonts w:hint="eastAsia"/>
                <w:lang w:val="en-US" w:eastAsia="zh-CN"/>
              </w:rPr>
              <w:t>585</w:t>
            </w:r>
            <w:r>
              <w:t>号</w:t>
            </w:r>
          </w:p>
        </w:tc>
        <w:tc>
          <w:tcPr>
            <w:tcW w:w="1216" w:type="dxa"/>
            <w:vAlign w:val="center"/>
          </w:tcPr>
          <w:p>
            <w:pPr>
              <w:spacing w:line="0" w:lineRule="atLeast"/>
              <w:jc w:val="center"/>
              <w:rPr>
                <w:b/>
                <w:sz w:val="24"/>
              </w:rPr>
            </w:pPr>
            <w:r>
              <w:rPr>
                <w:b/>
                <w:sz w:val="24"/>
              </w:rPr>
              <w:t>时间</w:t>
            </w:r>
          </w:p>
        </w:tc>
        <w:tc>
          <w:tcPr>
            <w:tcW w:w="1200" w:type="dxa"/>
            <w:vAlign w:val="center"/>
          </w:tcPr>
          <w:p>
            <w:pPr>
              <w:spacing w:line="0" w:lineRule="atLeast"/>
              <w:jc w:val="center"/>
              <w:rPr>
                <w:rFonts w:hint="eastAsia" w:eastAsia="宋体"/>
                <w:lang w:eastAsia="zh-CN"/>
              </w:rPr>
            </w:pPr>
            <w:r>
              <w:t>201</w:t>
            </w:r>
            <w:r>
              <w:rPr>
                <w:rFonts w:hint="eastAsia"/>
                <w:lang w:val="en-US" w:eastAsia="zh-CN"/>
              </w:rPr>
              <w:t>8</w:t>
            </w:r>
            <w:r>
              <w:t>.</w:t>
            </w:r>
            <w:r>
              <w:rPr>
                <w:rFonts w:hint="eastAsia"/>
                <w:lang w:val="en-US" w:eastAsia="zh-CN"/>
              </w:rPr>
              <w:t>12</w:t>
            </w:r>
            <w:r>
              <w:t>.</w:t>
            </w:r>
            <w:r>
              <w:rPr>
                <w:rFonts w:hint="eastAsia"/>
              </w:rPr>
              <w:t>2</w:t>
            </w:r>
            <w:r>
              <w:rPr>
                <w:rFonts w:hint="eastAsia"/>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tcMar>
              <w:left w:w="0" w:type="dxa"/>
              <w:right w:w="0" w:type="dxa"/>
            </w:tcMar>
            <w:vAlign w:val="center"/>
          </w:tcPr>
          <w:p>
            <w:pPr>
              <w:spacing w:line="0" w:lineRule="atLeast"/>
              <w:ind w:left="14" w:hanging="14" w:hangingChars="6"/>
              <w:jc w:val="center"/>
              <w:rPr>
                <w:b/>
                <w:sz w:val="24"/>
              </w:rPr>
            </w:pPr>
            <w:r>
              <w:rPr>
                <w:b/>
                <w:sz w:val="24"/>
              </w:rPr>
              <w:t>环保设施设计单位</w:t>
            </w:r>
          </w:p>
        </w:tc>
        <w:tc>
          <w:tcPr>
            <w:tcW w:w="7263" w:type="dxa"/>
            <w:gridSpan w:val="8"/>
            <w:vAlign w:val="center"/>
          </w:tcPr>
          <w:p>
            <w:pPr>
              <w:spacing w:line="0" w:lineRule="atLeast"/>
              <w:jc w:val="center"/>
              <w:rPr>
                <w:sz w:val="24"/>
              </w:rPr>
            </w:pPr>
            <w:r>
              <w:rPr>
                <w:sz w:val="24"/>
              </w:rPr>
              <w:t>中国市政工程华北设计研究总院有限公司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tcMar>
              <w:left w:w="0" w:type="dxa"/>
              <w:right w:w="0" w:type="dxa"/>
            </w:tcMar>
            <w:vAlign w:val="center"/>
          </w:tcPr>
          <w:p>
            <w:pPr>
              <w:spacing w:line="0" w:lineRule="atLeast"/>
              <w:jc w:val="center"/>
              <w:rPr>
                <w:b/>
                <w:sz w:val="24"/>
              </w:rPr>
            </w:pPr>
            <w:r>
              <w:rPr>
                <w:b/>
                <w:sz w:val="24"/>
              </w:rPr>
              <w:t>环保设施施工单位</w:t>
            </w:r>
          </w:p>
        </w:tc>
        <w:tc>
          <w:tcPr>
            <w:tcW w:w="7263" w:type="dxa"/>
            <w:gridSpan w:val="8"/>
            <w:vAlign w:val="center"/>
          </w:tcPr>
          <w:p>
            <w:pPr>
              <w:spacing w:line="0" w:lineRule="atLeast"/>
              <w:jc w:val="center"/>
              <w:rPr>
                <w:rFonts w:hint="eastAsia" w:eastAsia="宋体"/>
                <w:szCs w:val="21"/>
                <w:lang w:eastAsia="zh-CN"/>
              </w:rPr>
            </w:pPr>
            <w:r>
              <w:rPr>
                <w:rFonts w:hint="eastAsia"/>
                <w:sz w:val="24"/>
                <w:lang w:eastAsia="zh-CN"/>
              </w:rPr>
              <w:t>中铁十八局集团建筑安装工程有限公司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tcMar>
              <w:left w:w="0" w:type="dxa"/>
              <w:right w:w="0" w:type="dxa"/>
            </w:tcMar>
            <w:vAlign w:val="center"/>
          </w:tcPr>
          <w:p>
            <w:pPr>
              <w:spacing w:line="0" w:lineRule="atLeast"/>
              <w:jc w:val="center"/>
              <w:rPr>
                <w:b/>
                <w:sz w:val="24"/>
              </w:rPr>
            </w:pPr>
            <w:r>
              <w:rPr>
                <w:b/>
                <w:sz w:val="24"/>
              </w:rPr>
              <w:t>环保设施监测单位</w:t>
            </w:r>
          </w:p>
        </w:tc>
        <w:tc>
          <w:tcPr>
            <w:tcW w:w="7263" w:type="dxa"/>
            <w:gridSpan w:val="8"/>
            <w:vAlign w:val="center"/>
          </w:tcPr>
          <w:p>
            <w:pPr>
              <w:spacing w:line="0" w:lineRule="atLeast"/>
              <w:jc w:val="center"/>
              <w:rPr>
                <w:rFonts w:hint="eastAsia" w:eastAsia="宋体"/>
                <w:color w:val="FF0000"/>
                <w:sz w:val="24"/>
                <w:lang w:val="en-US" w:eastAsia="zh-CN"/>
              </w:rPr>
            </w:pPr>
            <w:r>
              <w:rPr>
                <w:rFonts w:hint="eastAsia"/>
                <w:color w:val="auto"/>
                <w:sz w:val="24"/>
                <w:lang w:val="en-US" w:eastAsia="zh-CN"/>
              </w:rPr>
              <w:t>山西大地晋新环境科技研究院有限公司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投资总概算</w:t>
            </w:r>
          </w:p>
          <w:p>
            <w:pPr>
              <w:spacing w:line="0" w:lineRule="atLeast"/>
              <w:jc w:val="center"/>
              <w:rPr>
                <w:b/>
                <w:sz w:val="24"/>
              </w:rPr>
            </w:pPr>
            <w:r>
              <w:rPr>
                <w:b/>
                <w:sz w:val="24"/>
              </w:rPr>
              <w:t>(万元)</w:t>
            </w:r>
          </w:p>
        </w:tc>
        <w:tc>
          <w:tcPr>
            <w:tcW w:w="1672" w:type="dxa"/>
            <w:vAlign w:val="center"/>
          </w:tcPr>
          <w:p>
            <w:pPr>
              <w:spacing w:line="0" w:lineRule="atLeast"/>
              <w:jc w:val="center"/>
              <w:rPr>
                <w:rFonts w:hint="eastAsia" w:eastAsia="宋体"/>
                <w:color w:val="FF0000"/>
                <w:sz w:val="24"/>
                <w:lang w:eastAsia="zh-CN"/>
              </w:rPr>
            </w:pPr>
            <w:r>
              <w:rPr>
                <w:rFonts w:hint="eastAsia"/>
                <w:color w:val="FF0000"/>
                <w:sz w:val="24"/>
              </w:rPr>
              <w:t>62555万元</w:t>
            </w:r>
            <w:r>
              <w:rPr>
                <w:rFonts w:hint="eastAsia"/>
                <w:color w:val="FF0000"/>
                <w:sz w:val="24"/>
                <w:lang w:eastAsia="zh-CN"/>
              </w:rPr>
              <w:t>（一期工程）</w:t>
            </w:r>
          </w:p>
        </w:tc>
        <w:tc>
          <w:tcPr>
            <w:tcW w:w="1421" w:type="dxa"/>
            <w:gridSpan w:val="3"/>
            <w:vAlign w:val="center"/>
          </w:tcPr>
          <w:p>
            <w:pPr>
              <w:spacing w:line="0" w:lineRule="atLeast"/>
              <w:jc w:val="center"/>
              <w:rPr>
                <w:b/>
                <w:sz w:val="24"/>
              </w:rPr>
            </w:pPr>
            <w:r>
              <w:rPr>
                <w:b/>
                <w:sz w:val="24"/>
              </w:rPr>
              <w:t>其中：环保投资(万元)</w:t>
            </w:r>
          </w:p>
        </w:tc>
        <w:tc>
          <w:tcPr>
            <w:tcW w:w="1066" w:type="dxa"/>
            <w:vAlign w:val="center"/>
          </w:tcPr>
          <w:p>
            <w:pPr>
              <w:spacing w:line="0" w:lineRule="atLeast"/>
              <w:jc w:val="center"/>
              <w:rPr>
                <w:color w:val="000000"/>
                <w:sz w:val="24"/>
              </w:rPr>
            </w:pPr>
            <w:r>
              <w:rPr>
                <w:rFonts w:hint="eastAsia"/>
                <w:color w:val="000000"/>
                <w:sz w:val="24"/>
                <w:highlight w:val="yellow"/>
              </w:rPr>
              <w:t>39</w:t>
            </w:r>
          </w:p>
        </w:tc>
        <w:tc>
          <w:tcPr>
            <w:tcW w:w="1904" w:type="dxa"/>
            <w:gridSpan w:val="2"/>
            <w:vMerge w:val="restart"/>
            <w:vAlign w:val="center"/>
          </w:tcPr>
          <w:p>
            <w:pPr>
              <w:spacing w:line="0" w:lineRule="atLeast"/>
              <w:jc w:val="center"/>
              <w:rPr>
                <w:b/>
                <w:sz w:val="24"/>
              </w:rPr>
            </w:pPr>
            <w:r>
              <w:rPr>
                <w:b/>
                <w:sz w:val="24"/>
              </w:rPr>
              <w:t>实际环保</w:t>
            </w:r>
          </w:p>
          <w:p>
            <w:pPr>
              <w:spacing w:line="0" w:lineRule="atLeast"/>
              <w:jc w:val="center"/>
              <w:rPr>
                <w:b/>
                <w:sz w:val="24"/>
              </w:rPr>
            </w:pPr>
            <w:r>
              <w:rPr>
                <w:b/>
                <w:sz w:val="24"/>
              </w:rPr>
              <w:t>投资占</w:t>
            </w:r>
          </w:p>
          <w:p>
            <w:pPr>
              <w:spacing w:line="0" w:lineRule="atLeast"/>
              <w:jc w:val="center"/>
              <w:rPr>
                <w:sz w:val="24"/>
              </w:rPr>
            </w:pPr>
            <w:r>
              <w:rPr>
                <w:b/>
                <w:sz w:val="24"/>
              </w:rPr>
              <w:t>总投资比例</w:t>
            </w:r>
          </w:p>
        </w:tc>
        <w:tc>
          <w:tcPr>
            <w:tcW w:w="1200" w:type="dxa"/>
            <w:vAlign w:val="center"/>
          </w:tcPr>
          <w:p>
            <w:pPr>
              <w:spacing w:line="0" w:lineRule="atLeast"/>
              <w:ind w:firstLine="240" w:firstLineChars="100"/>
              <w:rPr>
                <w:color w:val="000000"/>
                <w:sz w:val="24"/>
              </w:rPr>
            </w:pPr>
            <w:r>
              <w:rPr>
                <w:rFonts w:hint="eastAsia"/>
                <w:color w:val="000000"/>
                <w:sz w:val="24"/>
                <w:highlight w:val="yellow"/>
              </w:rPr>
              <w:t>1.78</w:t>
            </w:r>
            <w:r>
              <w:rPr>
                <w:color w:val="000000"/>
                <w:sz w:val="24"/>
                <w:highlight w:val="yellow"/>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24" w:type="dxa"/>
            <w:vAlign w:val="center"/>
          </w:tcPr>
          <w:p>
            <w:pPr>
              <w:spacing w:line="0" w:lineRule="atLeast"/>
              <w:jc w:val="center"/>
              <w:rPr>
                <w:b/>
                <w:sz w:val="24"/>
              </w:rPr>
            </w:pPr>
            <w:r>
              <w:rPr>
                <w:b/>
                <w:sz w:val="24"/>
              </w:rPr>
              <w:t>实际总投资</w:t>
            </w:r>
          </w:p>
          <w:p>
            <w:pPr>
              <w:spacing w:line="0" w:lineRule="atLeast"/>
              <w:jc w:val="center"/>
              <w:rPr>
                <w:b/>
                <w:color w:val="FF0000"/>
                <w:sz w:val="24"/>
              </w:rPr>
            </w:pPr>
            <w:r>
              <w:rPr>
                <w:b/>
                <w:sz w:val="24"/>
              </w:rPr>
              <w:t>(万元)</w:t>
            </w:r>
          </w:p>
        </w:tc>
        <w:tc>
          <w:tcPr>
            <w:tcW w:w="1672" w:type="dxa"/>
            <w:vAlign w:val="center"/>
          </w:tcPr>
          <w:p>
            <w:pPr>
              <w:spacing w:line="0" w:lineRule="atLeast"/>
              <w:jc w:val="center"/>
              <w:rPr>
                <w:rFonts w:hint="eastAsia" w:eastAsia="宋体"/>
                <w:color w:val="auto"/>
                <w:sz w:val="24"/>
                <w:highlight w:val="yellow"/>
                <w:lang w:val="en-US" w:eastAsia="zh-CN"/>
              </w:rPr>
            </w:pPr>
            <w:r>
              <w:rPr>
                <w:rFonts w:hint="eastAsia"/>
                <w:color w:val="auto"/>
                <w:sz w:val="24"/>
                <w:highlight w:val="yellow"/>
                <w:lang w:val="en-US" w:eastAsia="zh-CN"/>
              </w:rPr>
              <w:t>2197.5</w:t>
            </w:r>
          </w:p>
        </w:tc>
        <w:tc>
          <w:tcPr>
            <w:tcW w:w="1421" w:type="dxa"/>
            <w:gridSpan w:val="3"/>
            <w:vAlign w:val="center"/>
          </w:tcPr>
          <w:p>
            <w:pPr>
              <w:spacing w:line="0" w:lineRule="atLeast"/>
              <w:jc w:val="center"/>
              <w:rPr>
                <w:b/>
                <w:color w:val="auto"/>
                <w:sz w:val="24"/>
                <w:highlight w:val="yellow"/>
              </w:rPr>
            </w:pPr>
            <w:r>
              <w:rPr>
                <w:b/>
                <w:color w:val="auto"/>
                <w:sz w:val="24"/>
                <w:highlight w:val="yellow"/>
              </w:rPr>
              <w:t>其中：环保投资(万元)</w:t>
            </w:r>
          </w:p>
        </w:tc>
        <w:tc>
          <w:tcPr>
            <w:tcW w:w="1066" w:type="dxa"/>
            <w:vAlign w:val="center"/>
          </w:tcPr>
          <w:p>
            <w:pPr>
              <w:spacing w:line="0" w:lineRule="atLeast"/>
              <w:jc w:val="center"/>
              <w:rPr>
                <w:rFonts w:hint="eastAsia" w:eastAsia="宋体"/>
                <w:color w:val="auto"/>
                <w:sz w:val="24"/>
                <w:highlight w:val="yellow"/>
                <w:lang w:eastAsia="zh-CN"/>
              </w:rPr>
            </w:pPr>
            <w:r>
              <w:rPr>
                <w:rFonts w:hint="eastAsia"/>
                <w:color w:val="auto"/>
                <w:sz w:val="24"/>
                <w:highlight w:val="yellow"/>
              </w:rPr>
              <w:t>4</w:t>
            </w:r>
            <w:r>
              <w:rPr>
                <w:rFonts w:hint="eastAsia"/>
                <w:color w:val="auto"/>
                <w:sz w:val="24"/>
                <w:highlight w:val="yellow"/>
                <w:lang w:val="en-US" w:eastAsia="zh-CN"/>
              </w:rPr>
              <w:t>2</w:t>
            </w:r>
          </w:p>
        </w:tc>
        <w:tc>
          <w:tcPr>
            <w:tcW w:w="1904" w:type="dxa"/>
            <w:gridSpan w:val="2"/>
            <w:vMerge w:val="continue"/>
            <w:vAlign w:val="center"/>
          </w:tcPr>
          <w:p>
            <w:pPr>
              <w:spacing w:line="0" w:lineRule="atLeast"/>
              <w:jc w:val="center"/>
              <w:rPr>
                <w:color w:val="auto"/>
                <w:sz w:val="24"/>
                <w:highlight w:val="yellow"/>
              </w:rPr>
            </w:pPr>
          </w:p>
        </w:tc>
        <w:tc>
          <w:tcPr>
            <w:tcW w:w="1200" w:type="dxa"/>
            <w:vAlign w:val="center"/>
          </w:tcPr>
          <w:p>
            <w:pPr>
              <w:spacing w:line="0" w:lineRule="atLeast"/>
              <w:ind w:firstLine="240" w:firstLineChars="100"/>
              <w:rPr>
                <w:color w:val="auto"/>
                <w:sz w:val="24"/>
                <w:highlight w:val="yellow"/>
              </w:rPr>
            </w:pPr>
            <w:r>
              <w:rPr>
                <w:rFonts w:hint="eastAsia"/>
                <w:color w:val="auto"/>
                <w:sz w:val="24"/>
                <w:highlight w:val="yellow"/>
                <w:lang w:val="en-US" w:eastAsia="zh-CN"/>
              </w:rPr>
              <w:t>1.91</w:t>
            </w:r>
            <w:r>
              <w:rPr>
                <w:rFonts w:hint="eastAsia"/>
                <w:color w:val="auto"/>
                <w:sz w:val="24"/>
                <w:highlight w:val="yellow"/>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2024" w:type="dxa"/>
            <w:vAlign w:val="center"/>
          </w:tcPr>
          <w:p>
            <w:pPr>
              <w:spacing w:line="0" w:lineRule="atLeast"/>
              <w:jc w:val="center"/>
              <w:rPr>
                <w:b/>
                <w:sz w:val="24"/>
              </w:rPr>
            </w:pPr>
            <w:r>
              <w:rPr>
                <w:b/>
                <w:sz w:val="24"/>
              </w:rPr>
              <w:t>设计生产能力</w:t>
            </w:r>
          </w:p>
        </w:tc>
        <w:tc>
          <w:tcPr>
            <w:tcW w:w="1672" w:type="dxa"/>
            <w:vAlign w:val="center"/>
          </w:tcPr>
          <w:p>
            <w:pPr>
              <w:spacing w:line="0" w:lineRule="atLeast"/>
              <w:jc w:val="center"/>
              <w:rPr>
                <w:sz w:val="24"/>
              </w:rPr>
            </w:pPr>
            <w:r>
              <w:rPr>
                <w:rFonts w:hint="eastAsia"/>
                <w:sz w:val="24"/>
              </w:rPr>
              <w:t>4.94×10</w:t>
            </w:r>
            <w:r>
              <w:rPr>
                <w:rFonts w:hint="eastAsia"/>
                <w:sz w:val="24"/>
                <w:vertAlign w:val="superscript"/>
              </w:rPr>
              <w:t>8</w:t>
            </w:r>
            <w:r>
              <w:rPr>
                <w:rFonts w:hint="eastAsia"/>
                <w:sz w:val="24"/>
              </w:rPr>
              <w:t>m</w:t>
            </w:r>
            <w:r>
              <w:rPr>
                <w:rFonts w:hint="eastAsia"/>
                <w:sz w:val="24"/>
                <w:vertAlign w:val="superscript"/>
              </w:rPr>
              <w:t>3</w:t>
            </w:r>
            <w:r>
              <w:rPr>
                <w:rFonts w:hint="eastAsia"/>
                <w:sz w:val="24"/>
              </w:rPr>
              <w:t>/a</w:t>
            </w:r>
          </w:p>
        </w:tc>
        <w:tc>
          <w:tcPr>
            <w:tcW w:w="2487" w:type="dxa"/>
            <w:gridSpan w:val="4"/>
            <w:vAlign w:val="center"/>
          </w:tcPr>
          <w:p>
            <w:pPr>
              <w:spacing w:line="0" w:lineRule="atLeast"/>
              <w:jc w:val="center"/>
              <w:rPr>
                <w:b/>
                <w:sz w:val="24"/>
              </w:rPr>
            </w:pPr>
            <w:r>
              <w:rPr>
                <w:b/>
                <w:sz w:val="24"/>
              </w:rPr>
              <w:t>建设项目开工日期</w:t>
            </w:r>
          </w:p>
        </w:tc>
        <w:tc>
          <w:tcPr>
            <w:tcW w:w="3104" w:type="dxa"/>
            <w:gridSpan w:val="3"/>
            <w:vAlign w:val="center"/>
          </w:tcPr>
          <w:p>
            <w:pPr>
              <w:spacing w:line="0" w:lineRule="atLeast"/>
              <w:jc w:val="center"/>
              <w:rPr>
                <w:rFonts w:hint="default" w:eastAsia="宋体"/>
                <w:sz w:val="24"/>
                <w:lang w:val="en-US" w:eastAsia="zh-CN"/>
              </w:rPr>
            </w:pPr>
            <w:r>
              <w:rPr>
                <w:rFonts w:hint="eastAsia"/>
                <w:sz w:val="24"/>
              </w:rPr>
              <w:t>201</w:t>
            </w:r>
            <w:r>
              <w:rPr>
                <w:rFonts w:hint="eastAsia"/>
                <w:sz w:val="24"/>
                <w:lang w:val="en-US" w:eastAsia="zh-CN"/>
              </w:rPr>
              <w:t>9</w:t>
            </w:r>
            <w:r>
              <w:rPr>
                <w:rFonts w:hint="eastAsia"/>
                <w:sz w:val="24"/>
              </w:rPr>
              <w:t>.</w:t>
            </w:r>
            <w:r>
              <w:rPr>
                <w:rFonts w:hint="eastAsia"/>
                <w:sz w:val="24"/>
                <w:lang w:val="en-US" w:eastAsia="zh-CN"/>
              </w:rPr>
              <w:t>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2024" w:type="dxa"/>
            <w:vAlign w:val="center"/>
          </w:tcPr>
          <w:p>
            <w:pPr>
              <w:spacing w:line="0" w:lineRule="atLeast"/>
              <w:jc w:val="center"/>
              <w:rPr>
                <w:b/>
                <w:color w:val="FF0000"/>
                <w:sz w:val="24"/>
              </w:rPr>
            </w:pPr>
            <w:r>
              <w:rPr>
                <w:b/>
                <w:sz w:val="24"/>
              </w:rPr>
              <w:t>实际生产能力</w:t>
            </w:r>
          </w:p>
        </w:tc>
        <w:tc>
          <w:tcPr>
            <w:tcW w:w="1672" w:type="dxa"/>
            <w:vAlign w:val="center"/>
          </w:tcPr>
          <w:p>
            <w:pPr>
              <w:spacing w:line="0" w:lineRule="atLeast"/>
              <w:jc w:val="center"/>
              <w:rPr>
                <w:color w:val="FF0000"/>
                <w:sz w:val="24"/>
              </w:rPr>
            </w:pPr>
            <w:r>
              <w:rPr>
                <w:rFonts w:hint="eastAsia"/>
                <w:sz w:val="24"/>
              </w:rPr>
              <w:t>4.94×10</w:t>
            </w:r>
            <w:r>
              <w:rPr>
                <w:rFonts w:hint="eastAsia"/>
                <w:sz w:val="24"/>
                <w:vertAlign w:val="superscript"/>
              </w:rPr>
              <w:t>8</w:t>
            </w:r>
            <w:r>
              <w:rPr>
                <w:rFonts w:hint="eastAsia"/>
                <w:sz w:val="24"/>
              </w:rPr>
              <w:t>m</w:t>
            </w:r>
            <w:r>
              <w:rPr>
                <w:rFonts w:hint="eastAsia"/>
                <w:sz w:val="24"/>
                <w:vertAlign w:val="superscript"/>
              </w:rPr>
              <w:t>3</w:t>
            </w:r>
            <w:r>
              <w:rPr>
                <w:rFonts w:hint="eastAsia"/>
                <w:sz w:val="24"/>
              </w:rPr>
              <w:t>/a</w:t>
            </w:r>
          </w:p>
        </w:tc>
        <w:tc>
          <w:tcPr>
            <w:tcW w:w="2487" w:type="dxa"/>
            <w:gridSpan w:val="4"/>
            <w:vAlign w:val="center"/>
          </w:tcPr>
          <w:p>
            <w:pPr>
              <w:spacing w:line="0" w:lineRule="atLeast"/>
              <w:jc w:val="center"/>
              <w:rPr>
                <w:b/>
                <w:sz w:val="24"/>
              </w:rPr>
            </w:pPr>
            <w:r>
              <w:rPr>
                <w:b/>
                <w:sz w:val="24"/>
              </w:rPr>
              <w:t>投入试运行日期</w:t>
            </w:r>
          </w:p>
        </w:tc>
        <w:tc>
          <w:tcPr>
            <w:tcW w:w="3104" w:type="dxa"/>
            <w:gridSpan w:val="3"/>
            <w:vAlign w:val="center"/>
          </w:tcPr>
          <w:p>
            <w:pPr>
              <w:spacing w:line="0" w:lineRule="atLeast"/>
              <w:jc w:val="center"/>
              <w:rPr>
                <w:rFonts w:hint="default" w:eastAsia="宋体"/>
                <w:sz w:val="24"/>
                <w:lang w:val="en-US" w:eastAsia="zh-CN"/>
              </w:rPr>
            </w:pPr>
            <w:r>
              <w:rPr>
                <w:rFonts w:hint="eastAsia"/>
                <w:sz w:val="24"/>
              </w:rPr>
              <w:t>20</w:t>
            </w:r>
            <w:r>
              <w:rPr>
                <w:rFonts w:hint="eastAsia"/>
                <w:sz w:val="24"/>
                <w:lang w:val="en-US" w:eastAsia="zh-CN"/>
              </w:rPr>
              <w:t>20</w:t>
            </w:r>
            <w:r>
              <w:rPr>
                <w:rFonts w:hint="eastAsia"/>
                <w:sz w:val="24"/>
              </w:rPr>
              <w:t>.</w:t>
            </w:r>
            <w:r>
              <w:rPr>
                <w:rFonts w:hint="eastAsia"/>
                <w:sz w:val="24"/>
                <w:lang w:val="en-US" w:eastAsia="zh-CN"/>
              </w:rPr>
              <w:t>11.28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4" w:hRule="atLeast"/>
          <w:jc w:val="center"/>
        </w:trPr>
        <w:tc>
          <w:tcPr>
            <w:tcW w:w="2024" w:type="dxa"/>
            <w:vAlign w:val="center"/>
          </w:tcPr>
          <w:p>
            <w:pPr>
              <w:spacing w:line="0" w:lineRule="atLeast"/>
              <w:jc w:val="center"/>
              <w:rPr>
                <w:b/>
                <w:sz w:val="24"/>
              </w:rPr>
            </w:pPr>
            <w:r>
              <w:rPr>
                <w:b/>
                <w:sz w:val="24"/>
              </w:rPr>
              <w:t>项目建设</w:t>
            </w:r>
          </w:p>
          <w:p>
            <w:pPr>
              <w:spacing w:line="0" w:lineRule="atLeast"/>
              <w:jc w:val="center"/>
              <w:rPr>
                <w:b/>
                <w:sz w:val="24"/>
              </w:rPr>
            </w:pPr>
            <w:r>
              <w:rPr>
                <w:b/>
                <w:sz w:val="24"/>
              </w:rPr>
              <w:t>过程简述</w:t>
            </w:r>
          </w:p>
          <w:p>
            <w:pPr>
              <w:spacing w:line="0" w:lineRule="atLeast"/>
              <w:jc w:val="center"/>
              <w:rPr>
                <w:b/>
                <w:sz w:val="24"/>
              </w:rPr>
            </w:pPr>
            <w:r>
              <w:rPr>
                <w:b/>
                <w:sz w:val="24"/>
              </w:rPr>
              <w:t>（项目立项~试运营）</w:t>
            </w:r>
          </w:p>
          <w:p>
            <w:pPr>
              <w:spacing w:line="0" w:lineRule="atLeast"/>
              <w:jc w:val="center"/>
              <w:rPr>
                <w:b/>
                <w:sz w:val="24"/>
              </w:rPr>
            </w:pPr>
          </w:p>
        </w:tc>
        <w:tc>
          <w:tcPr>
            <w:tcW w:w="7263" w:type="dxa"/>
            <w:gridSpan w:val="8"/>
            <w:vAlign w:val="center"/>
          </w:tcPr>
          <w:p>
            <w:pPr>
              <w:spacing w:line="460" w:lineRule="exact"/>
              <w:ind w:firstLine="480" w:firstLineChars="200"/>
              <w:rPr>
                <w:rFonts w:hint="default"/>
                <w:sz w:val="24"/>
                <w:lang w:val="en-US" w:eastAsia="zh-CN"/>
              </w:rPr>
            </w:pPr>
            <w:r>
              <w:rPr>
                <w:rFonts w:hint="default"/>
                <w:sz w:val="24"/>
                <w:lang w:val="en-US" w:eastAsia="zh-CN"/>
              </w:rPr>
              <w:t>山西省发改委于2018年6月25日对《太长线鸣谦分输站—鄂安沧忻州分输站输气联络线工程项目》进行了核准批复（晋发改审批发[2018]388号）。山西省生态环境厅于2018年12月26日对该项目环境影响报告表进行了批复（晋环审批函[2018]585号）。</w:t>
            </w:r>
          </w:p>
          <w:p>
            <w:pPr>
              <w:spacing w:line="460" w:lineRule="exact"/>
              <w:ind w:firstLine="480" w:firstLineChars="200"/>
              <w:rPr>
                <w:rFonts w:hint="default" w:ascii="Times New Roman" w:hAnsi="Times New Roman" w:cs="Times New Roman"/>
                <w:sz w:val="24"/>
                <w:szCs w:val="24"/>
                <w:lang w:val="en-US" w:eastAsia="zh-CN"/>
              </w:rPr>
            </w:pPr>
            <w:r>
              <w:rPr>
                <w:rFonts w:hint="eastAsia"/>
                <w:sz w:val="24"/>
                <w:lang w:val="en-US" w:eastAsia="zh-CN"/>
              </w:rPr>
              <w:t>山西省能源局于2019年12月31日出具了“关于同意变更太长线鸣谦分输站—鄂安沧忻州分输站输气联络线项目建设内容的批复”。变更主要内容及规模：原“鸣谦—忻州项目沿线设置</w:t>
            </w:r>
            <w:r>
              <w:rPr>
                <w:rFonts w:hint="default"/>
                <w:sz w:val="24"/>
                <w:lang w:val="en-US" w:eastAsia="zh-CN"/>
              </w:rPr>
              <w:t>孟家井分输站、忻州分输站，以及5座截断阀室</w:t>
            </w:r>
            <w:r>
              <w:rPr>
                <w:rFonts w:hint="eastAsia"/>
                <w:sz w:val="24"/>
                <w:lang w:val="en-US" w:eastAsia="zh-CN"/>
              </w:rPr>
              <w:t>”</w:t>
            </w:r>
            <w:r>
              <w:rPr>
                <w:rFonts w:hint="default"/>
                <w:sz w:val="24"/>
                <w:lang w:val="en-US" w:eastAsia="zh-CN"/>
              </w:rPr>
              <w:t>变更为</w:t>
            </w:r>
            <w:r>
              <w:rPr>
                <w:rFonts w:hint="eastAsia"/>
                <w:sz w:val="24"/>
                <w:lang w:val="en-US" w:eastAsia="zh-CN"/>
              </w:rPr>
              <w:t>“</w:t>
            </w:r>
            <w:r>
              <w:rPr>
                <w:rFonts w:hint="default"/>
                <w:sz w:val="24"/>
                <w:lang w:val="en-US" w:eastAsia="zh-CN"/>
              </w:rPr>
              <w:t>鸣谦-忻州项目沿线设置鸣谦分输站、孟家井分输站、忻州分输站，以及5座截断阀室</w:t>
            </w:r>
            <w:r>
              <w:rPr>
                <w:rFonts w:hint="eastAsia"/>
                <w:sz w:val="24"/>
                <w:lang w:val="en-US" w:eastAsia="zh-CN"/>
              </w:rPr>
              <w:t>”；</w:t>
            </w:r>
            <w:r>
              <w:rPr>
                <w:rFonts w:hint="default"/>
                <w:sz w:val="24"/>
                <w:lang w:val="en-US" w:eastAsia="zh-CN"/>
              </w:rPr>
              <w:t>原</w:t>
            </w:r>
            <w:r>
              <w:rPr>
                <w:rFonts w:hint="eastAsia"/>
                <w:sz w:val="24"/>
                <w:lang w:val="en-US" w:eastAsia="zh-CN"/>
              </w:rPr>
              <w:t>“</w:t>
            </w:r>
            <w:r>
              <w:rPr>
                <w:rFonts w:hint="default"/>
                <w:sz w:val="24"/>
                <w:lang w:val="en-US" w:eastAsia="zh-CN"/>
              </w:rPr>
              <w:t>拟建管线90.38公里</w:t>
            </w:r>
            <w:r>
              <w:rPr>
                <w:rFonts w:hint="eastAsia"/>
                <w:sz w:val="24"/>
                <w:lang w:val="en-US" w:eastAsia="zh-CN"/>
              </w:rPr>
              <w:t>”</w:t>
            </w:r>
            <w:r>
              <w:rPr>
                <w:rFonts w:hint="default"/>
                <w:sz w:val="24"/>
                <w:lang w:val="en-US" w:eastAsia="zh-CN"/>
              </w:rPr>
              <w:t>变更为</w:t>
            </w:r>
            <w:r>
              <w:rPr>
                <w:rFonts w:hint="eastAsia"/>
                <w:sz w:val="24"/>
                <w:lang w:val="en-US" w:eastAsia="zh-CN"/>
              </w:rPr>
              <w:t>“</w:t>
            </w:r>
            <w:r>
              <w:rPr>
                <w:rFonts w:hint="default"/>
                <w:sz w:val="24"/>
                <w:lang w:val="en-US" w:eastAsia="zh-CN"/>
              </w:rPr>
              <w:t>拟建管线98公里</w:t>
            </w:r>
            <w:r>
              <w:rPr>
                <w:rFonts w:hint="eastAsia"/>
                <w:sz w:val="24"/>
                <w:lang w:val="en-US" w:eastAsia="zh-CN"/>
              </w:rPr>
              <w:t>”。</w:t>
            </w:r>
            <w:r>
              <w:rPr>
                <w:rFonts w:hint="default" w:ascii="Times New Roman" w:hAnsi="Times New Roman" w:cs="Times New Roman"/>
                <w:sz w:val="24"/>
                <w:szCs w:val="24"/>
                <w:lang w:val="en-US" w:eastAsia="zh-CN"/>
              </w:rPr>
              <w:t>本项目分两期建设，一期建设内容为</w:t>
            </w:r>
            <w:bookmarkStart w:id="9" w:name="_Hlk18414163"/>
            <w:r>
              <w:rPr>
                <w:rFonts w:hint="default" w:ascii="Times New Roman" w:hAnsi="Times New Roman" w:cs="Times New Roman"/>
                <w:sz w:val="24"/>
                <w:szCs w:val="24"/>
                <w:lang w:val="en-US" w:eastAsia="zh-CN"/>
              </w:rPr>
              <w:t>太原-长治输气管道苏村段对接点-鸣谦分输站输气管线，长度约8km，管径DN500，设计压力6.3MPa，鸣谦分输站-孟家井分输站，长度约15.1km，管径DN700，设计压力6.3MPa；丈子头支线11.53km，DN600，设计压力2.5MPa，以及新建鸣谦分输站和孟家井分输站。</w:t>
            </w:r>
            <w:bookmarkEnd w:id="9"/>
            <w:r>
              <w:rPr>
                <w:rFonts w:hint="default" w:ascii="Times New Roman" w:hAnsi="Times New Roman" w:cs="Times New Roman"/>
                <w:sz w:val="24"/>
                <w:szCs w:val="24"/>
                <w:lang w:val="en-US" w:eastAsia="zh-CN"/>
              </w:rPr>
              <w:t>二期根据中石化鄂安沧山西段建设进度建设孟家井分输站至鄂安沧忻州站及沿线阀室和国化忻州分输站。</w:t>
            </w:r>
          </w:p>
          <w:p>
            <w:pPr>
              <w:spacing w:line="460" w:lineRule="exact"/>
              <w:ind w:firstLine="480" w:firstLineChars="200"/>
              <w:rPr>
                <w:bCs/>
                <w:sz w:val="24"/>
              </w:rPr>
            </w:pPr>
            <w:r>
              <w:rPr>
                <w:rFonts w:hint="default" w:ascii="Times New Roman" w:hAnsi="Times New Roman" w:cs="Times New Roman"/>
                <w:sz w:val="24"/>
                <w:szCs w:val="24"/>
                <w:lang w:val="en-US" w:eastAsia="zh-CN"/>
              </w:rPr>
              <w:t>山西省能源局于2020年7月3日出具了</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关于《关于恳请同意先行办理太长线鸣谦分输站—鄂安沧忻州分输站输气联络线项目（一期工程）相关手续的请示》的复函</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p>
          <w:p>
            <w:pPr>
              <w:spacing w:line="460" w:lineRule="exact"/>
              <w:ind w:firstLine="480" w:firstLineChars="200"/>
              <w:rPr>
                <w:sz w:val="24"/>
              </w:rPr>
            </w:pPr>
            <w:r>
              <w:rPr>
                <w:bCs/>
                <w:sz w:val="24"/>
              </w:rPr>
              <w:t>本</w:t>
            </w:r>
            <w:r>
              <w:rPr>
                <w:sz w:val="24"/>
              </w:rPr>
              <w:t>项目</w:t>
            </w:r>
            <w:r>
              <w:rPr>
                <w:rFonts w:hint="eastAsia"/>
                <w:sz w:val="24"/>
                <w:lang w:eastAsia="zh-CN"/>
              </w:rPr>
              <w:t>包括一期工程中的</w:t>
            </w:r>
            <w:r>
              <w:rPr>
                <w:rFonts w:hint="eastAsia"/>
                <w:sz w:val="24"/>
                <w:lang w:val="en-US" w:eastAsia="zh-CN"/>
              </w:rPr>
              <w:t>太原-长治输气管道苏村段对接点-鸣谦分输站输气管线，鸣谦分输站-孟家井分输站输气管线，建设鸣谦分输站和孟家井分输站，输气管道干线起点位于太长线对接点（晋中市榆次区什贴镇龙白村南），途经鸣谦分输站，终点位于孟家井分输站。项目</w:t>
            </w:r>
            <w:r>
              <w:rPr>
                <w:sz w:val="24"/>
              </w:rPr>
              <w:t>于201</w:t>
            </w:r>
            <w:r>
              <w:rPr>
                <w:rFonts w:hint="eastAsia"/>
                <w:sz w:val="24"/>
                <w:lang w:val="en-US" w:eastAsia="zh-CN"/>
              </w:rPr>
              <w:t>9</w:t>
            </w:r>
            <w:r>
              <w:rPr>
                <w:sz w:val="24"/>
              </w:rPr>
              <w:t>年</w:t>
            </w:r>
            <w:r>
              <w:rPr>
                <w:rFonts w:hint="eastAsia"/>
                <w:sz w:val="24"/>
                <w:lang w:val="en-US" w:eastAsia="zh-CN"/>
              </w:rPr>
              <w:t>8</w:t>
            </w:r>
            <w:r>
              <w:rPr>
                <w:sz w:val="24"/>
              </w:rPr>
              <w:t>月开工，20</w:t>
            </w:r>
            <w:r>
              <w:rPr>
                <w:rFonts w:hint="eastAsia"/>
                <w:sz w:val="24"/>
                <w:lang w:val="en-US" w:eastAsia="zh-CN"/>
              </w:rPr>
              <w:t>20</w:t>
            </w:r>
            <w:r>
              <w:rPr>
                <w:sz w:val="24"/>
              </w:rPr>
              <w:t>年</w:t>
            </w:r>
            <w:r>
              <w:rPr>
                <w:rFonts w:hint="eastAsia"/>
                <w:sz w:val="24"/>
                <w:lang w:val="en-US" w:eastAsia="zh-CN"/>
              </w:rPr>
              <w:t>11</w:t>
            </w:r>
            <w:r>
              <w:rPr>
                <w:sz w:val="24"/>
              </w:rPr>
              <w:t>月建成投入试运行。</w:t>
            </w:r>
          </w:p>
          <w:p>
            <w:pPr>
              <w:spacing w:line="460" w:lineRule="exact"/>
              <w:ind w:firstLine="480" w:firstLineChars="200"/>
              <w:rPr>
                <w:bCs/>
                <w:sz w:val="24"/>
              </w:rPr>
            </w:pPr>
            <w:r>
              <w:rPr>
                <w:rFonts w:hint="eastAsia"/>
                <w:bCs/>
                <w:sz w:val="24"/>
              </w:rPr>
              <w:t>太原-长治输气管道苏村段对接点-鸣谦分输站输气管线，长度约</w:t>
            </w:r>
            <w:r>
              <w:rPr>
                <w:rFonts w:hint="eastAsia"/>
                <w:bCs/>
                <w:sz w:val="24"/>
                <w:lang w:val="en-US" w:eastAsia="zh-CN"/>
              </w:rPr>
              <w:t>6.74</w:t>
            </w:r>
            <w:r>
              <w:rPr>
                <w:rFonts w:hint="eastAsia"/>
                <w:bCs/>
                <w:sz w:val="24"/>
              </w:rPr>
              <w:t>km，管径DN500，设计压力6.3MPa，鸣谦分输站-孟家井分输站，长度约</w:t>
            </w:r>
            <w:r>
              <w:rPr>
                <w:rFonts w:hint="eastAsia"/>
                <w:bCs/>
                <w:sz w:val="24"/>
                <w:lang w:val="en-US" w:eastAsia="zh-CN"/>
              </w:rPr>
              <w:t>14.99</w:t>
            </w:r>
            <w:r>
              <w:rPr>
                <w:rFonts w:hint="eastAsia"/>
                <w:bCs/>
                <w:sz w:val="24"/>
              </w:rPr>
              <w:t>km，管径DN700，设计压力6.3MPa。</w:t>
            </w:r>
          </w:p>
          <w:p>
            <w:pPr>
              <w:spacing w:line="460" w:lineRule="exact"/>
              <w:ind w:firstLine="480" w:firstLineChars="200"/>
              <w:rPr>
                <w:rFonts w:hint="default" w:eastAsia="宋体"/>
                <w:sz w:val="24"/>
                <w:lang w:val="en-US" w:eastAsia="zh-CN"/>
              </w:rPr>
            </w:pPr>
            <w:r>
              <w:rPr>
                <w:rFonts w:hint="eastAsia"/>
                <w:sz w:val="24"/>
                <w:lang w:val="en-US" w:eastAsia="zh-CN"/>
              </w:rPr>
              <w:t>2021年7月，建设单位委托技术单位对变更内容：太原-长治输气管道苏村段对接点-鸣谦分输站输气管线进行了环境影响分析，根据环境影响分析结论，本项目变更情况不属于重大变动的项目，对变动进行分析后通过验收报告载明，自主完成验收。</w:t>
            </w:r>
          </w:p>
          <w:p>
            <w:pPr>
              <w:spacing w:line="460" w:lineRule="exact"/>
              <w:ind w:firstLine="480" w:firstLineChars="200"/>
              <w:rPr>
                <w:rFonts w:hint="eastAsia"/>
                <w:sz w:val="24"/>
              </w:rPr>
            </w:pPr>
            <w:r>
              <w:rPr>
                <w:sz w:val="24"/>
              </w:rPr>
              <w:t>20</w:t>
            </w:r>
            <w:r>
              <w:rPr>
                <w:rFonts w:hint="eastAsia"/>
                <w:sz w:val="24"/>
                <w:lang w:val="en-US" w:eastAsia="zh-CN"/>
              </w:rPr>
              <w:t>21</w:t>
            </w:r>
            <w:r>
              <w:rPr>
                <w:sz w:val="24"/>
              </w:rPr>
              <w:t>年</w:t>
            </w:r>
            <w:r>
              <w:rPr>
                <w:rFonts w:hint="eastAsia"/>
                <w:sz w:val="24"/>
                <w:lang w:val="en-US" w:eastAsia="zh-CN"/>
              </w:rPr>
              <w:t>10</w:t>
            </w:r>
            <w:r>
              <w:rPr>
                <w:sz w:val="24"/>
              </w:rPr>
              <w:t>月，受山西天然气有限公司委托，</w:t>
            </w:r>
            <w:r>
              <w:rPr>
                <w:rFonts w:hint="eastAsia"/>
                <w:sz w:val="24"/>
                <w:lang w:eastAsia="zh-CN"/>
              </w:rPr>
              <w:t>山西大地晋新环境科技研究院有限公司</w:t>
            </w:r>
            <w:r>
              <w:rPr>
                <w:sz w:val="24"/>
              </w:rPr>
              <w:t>承担了该项目的竣工环境保护验收调查工作，并负责编制竣工环境保护验收调查表，为此项工程竣工环境保护验收提供技术依据。根据国务院</w:t>
            </w:r>
            <w:r>
              <w:rPr>
                <w:rFonts w:hint="eastAsia"/>
                <w:sz w:val="24"/>
              </w:rPr>
              <w:t>〔2017〕682</w:t>
            </w:r>
            <w:r>
              <w:rPr>
                <w:sz w:val="24"/>
              </w:rPr>
              <w:t>号令《建设项目环境保护管理条例》，</w:t>
            </w:r>
            <w:r>
              <w:rPr>
                <w:rFonts w:hint="eastAsia"/>
                <w:sz w:val="24"/>
              </w:rPr>
              <w:t>国环规环评[2017]4号《建设项目竣工环境保护验收暂行办法》</w:t>
            </w:r>
            <w:r>
              <w:rPr>
                <w:rFonts w:hint="eastAsia"/>
                <w:sz w:val="24"/>
                <w:lang w:eastAsia="zh-CN"/>
              </w:rPr>
              <w:t>，</w:t>
            </w:r>
            <w:r>
              <w:rPr>
                <w:rFonts w:hint="eastAsia"/>
                <w:sz w:val="24"/>
              </w:rPr>
              <w:t>《建设项目竣工环境保护验收技术规范生态影响类》（HJ/T394-2007）</w:t>
            </w:r>
            <w:r>
              <w:rPr>
                <w:rFonts w:hint="eastAsia"/>
                <w:sz w:val="24"/>
                <w:lang w:val="en-US" w:eastAsia="zh-CN"/>
              </w:rPr>
              <w:t>和晋环许可函[2018]39号《山西省环境保护厅关于做好建设项目环境保护管理相关工作的通知》</w:t>
            </w:r>
            <w:r>
              <w:rPr>
                <w:sz w:val="24"/>
              </w:rPr>
              <w:t>的有关规定，</w:t>
            </w:r>
            <w:r>
              <w:rPr>
                <w:rFonts w:hint="eastAsia"/>
                <w:sz w:val="24"/>
              </w:rPr>
              <w:t>我公司</w:t>
            </w:r>
            <w:r>
              <w:rPr>
                <w:sz w:val="24"/>
              </w:rPr>
              <w:t>有关技术人员对该建设项目环境保护工程完成情况进行了现场踏勘，查阅了相关资料</w:t>
            </w:r>
            <w:r>
              <w:rPr>
                <w:rFonts w:hint="eastAsia"/>
                <w:sz w:val="24"/>
              </w:rPr>
              <w:t>，</w:t>
            </w:r>
            <w:r>
              <w:rPr>
                <w:rFonts w:hint="eastAsia"/>
                <w:color w:val="auto"/>
                <w:sz w:val="24"/>
              </w:rPr>
              <w:t>并编写了竣工环境保护验收监测方案，</w:t>
            </w:r>
            <w:r>
              <w:rPr>
                <w:rFonts w:hint="eastAsia"/>
                <w:bCs/>
                <w:color w:val="auto"/>
                <w:sz w:val="24"/>
                <w:lang w:eastAsia="zh-CN"/>
              </w:rPr>
              <w:t>我单位</w:t>
            </w:r>
            <w:r>
              <w:rPr>
                <w:rFonts w:hint="eastAsia"/>
                <w:color w:val="auto"/>
                <w:sz w:val="24"/>
              </w:rPr>
              <w:t>于</w:t>
            </w:r>
            <w:r>
              <w:rPr>
                <w:rFonts w:hint="eastAsia"/>
                <w:color w:val="auto"/>
                <w:sz w:val="24"/>
                <w:highlight w:val="yellow"/>
              </w:rPr>
              <w:t>2018年7月7日—8日</w:t>
            </w:r>
            <w:r>
              <w:rPr>
                <w:rFonts w:hint="eastAsia"/>
                <w:color w:val="auto"/>
                <w:sz w:val="24"/>
              </w:rPr>
              <w:t>对</w:t>
            </w:r>
            <w:r>
              <w:rPr>
                <w:color w:val="auto"/>
                <w:sz w:val="24"/>
              </w:rPr>
              <w:t>本项目进行了</w:t>
            </w:r>
            <w:r>
              <w:rPr>
                <w:rFonts w:hint="eastAsia"/>
                <w:color w:val="auto"/>
                <w:sz w:val="24"/>
              </w:rPr>
              <w:t>噪声</w:t>
            </w:r>
            <w:r>
              <w:rPr>
                <w:color w:val="auto"/>
                <w:sz w:val="24"/>
              </w:rPr>
              <w:t>现状监测</w:t>
            </w:r>
            <w:r>
              <w:rPr>
                <w:rFonts w:hint="eastAsia"/>
                <w:color w:val="auto"/>
                <w:sz w:val="24"/>
              </w:rPr>
              <w:t>。2018年</w:t>
            </w:r>
            <w:r>
              <w:rPr>
                <w:rFonts w:hint="eastAsia"/>
                <w:color w:val="auto"/>
                <w:sz w:val="24"/>
                <w:lang w:val="en-US" w:eastAsia="zh-CN"/>
              </w:rPr>
              <w:t>12</w:t>
            </w:r>
            <w:r>
              <w:rPr>
                <w:rFonts w:hint="eastAsia"/>
                <w:color w:val="auto"/>
                <w:sz w:val="24"/>
              </w:rPr>
              <w:t>月项目组</w:t>
            </w:r>
            <w:r>
              <w:rPr>
                <w:color w:val="auto"/>
                <w:sz w:val="24"/>
              </w:rPr>
              <w:t>编制完成了《</w:t>
            </w:r>
            <w:r>
              <w:rPr>
                <w:rFonts w:hint="eastAsia"/>
                <w:color w:val="auto"/>
                <w:sz w:val="24"/>
                <w:lang w:val="en-US" w:eastAsia="zh-CN"/>
              </w:rPr>
              <w:t>太长线鸣谦分输站—鄂安沧忻州分输站输气联络线工程项目（一期工程）</w:t>
            </w:r>
            <w:r>
              <w:rPr>
                <w:sz w:val="24"/>
              </w:rPr>
              <w:t>竣工</w:t>
            </w:r>
            <w:r>
              <w:rPr>
                <w:rFonts w:hint="eastAsia"/>
                <w:sz w:val="24"/>
              </w:rPr>
              <w:t>环境保护</w:t>
            </w:r>
            <w:r>
              <w:rPr>
                <w:sz w:val="24"/>
              </w:rPr>
              <w:t>验收调查表》</w:t>
            </w:r>
            <w:r>
              <w:rPr>
                <w:rFonts w:hint="eastAsia"/>
                <w:sz w:val="24"/>
              </w:rPr>
              <w:t>。</w:t>
            </w:r>
          </w:p>
          <w:p>
            <w:pPr>
              <w:spacing w:line="460" w:lineRule="exact"/>
              <w:ind w:firstLine="480" w:firstLineChars="200"/>
              <w:rPr>
                <w:rFonts w:hint="eastAsia"/>
                <w:sz w:val="24"/>
              </w:rPr>
            </w:pPr>
            <w:r>
              <w:rPr>
                <w:rFonts w:hint="default" w:ascii="Times New Roman" w:hAnsi="Times New Roman" w:cs="Times New Roman" w:eastAsiaTheme="minorEastAsia"/>
                <w:sz w:val="24"/>
              </w:rPr>
              <w:t>本次竣工验收调查范围为本项目的输气管线工程以及</w:t>
            </w:r>
            <w:r>
              <w:rPr>
                <w:rFonts w:hint="default" w:ascii="Times New Roman" w:hAnsi="Times New Roman" w:cs="Times New Roman" w:eastAsiaTheme="minorEastAsia"/>
                <w:sz w:val="24"/>
                <w:lang w:val="en-US" w:eastAsia="zh-CN"/>
              </w:rPr>
              <w:t>鸣谦分输站</w:t>
            </w:r>
            <w:r>
              <w:rPr>
                <w:rFonts w:hint="eastAsia" w:cs="Times New Roman" w:eastAsiaTheme="minorEastAsia"/>
                <w:sz w:val="24"/>
                <w:lang w:val="en-US" w:eastAsia="zh-CN"/>
              </w:rPr>
              <w:t>和孟家井分输站</w:t>
            </w:r>
            <w:r>
              <w:rPr>
                <w:rFonts w:hint="default" w:ascii="Times New Roman" w:hAnsi="Times New Roman" w:cs="Times New Roman" w:eastAsiaTheme="minorEastAsia"/>
                <w:sz w:val="24"/>
              </w:rPr>
              <w:t>。</w:t>
            </w:r>
          </w:p>
          <w:p>
            <w:pPr>
              <w:spacing w:line="460" w:lineRule="exact"/>
              <w:ind w:firstLine="480" w:firstLineChars="200"/>
              <w:rPr>
                <w:rFonts w:hint="eastAsia"/>
                <w:sz w:val="24"/>
              </w:rPr>
            </w:pPr>
          </w:p>
          <w:p>
            <w:pPr>
              <w:pStyle w:val="86"/>
              <w:ind w:firstLine="480"/>
              <w:rPr>
                <w:rFonts w:cs="Times New Roman"/>
              </w:rPr>
            </w:pPr>
          </w:p>
        </w:tc>
      </w:tr>
    </w:tbl>
    <w:p>
      <w:pPr>
        <w:pStyle w:val="4"/>
        <w:spacing w:beforeLines="0" w:afterLines="0" w:line="460" w:lineRule="exact"/>
        <w:jc w:val="left"/>
        <w:rPr>
          <w:rFonts w:ascii="Times New Roman"/>
          <w:sz w:val="30"/>
        </w:rPr>
      </w:pPr>
      <w:r>
        <w:rPr>
          <w:rFonts w:ascii="Times New Roman"/>
        </w:rPr>
        <w:br w:type="page"/>
      </w:r>
      <w:bookmarkStart w:id="10" w:name="_Toc100122852"/>
      <w:bookmarkStart w:id="11" w:name="_Toc100123052"/>
      <w:bookmarkStart w:id="12" w:name="_Toc102119091"/>
      <w:bookmarkStart w:id="13" w:name="_Toc100123152"/>
      <w:bookmarkStart w:id="14" w:name="_Toc328647951"/>
      <w:bookmarkStart w:id="15" w:name="_Toc102120186"/>
      <w:bookmarkStart w:id="16" w:name="_Toc297795028"/>
      <w:bookmarkStart w:id="17" w:name="_Toc100119398"/>
      <w:bookmarkStart w:id="18" w:name="_Toc102120469"/>
      <w:bookmarkStart w:id="19" w:name="_Toc443915682"/>
      <w:r>
        <w:rPr>
          <w:rFonts w:ascii="Times New Roman"/>
          <w:sz w:val="30"/>
        </w:rPr>
        <w:t>表2  调查范围、因子、目标、重点</w:t>
      </w:r>
      <w:bookmarkEnd w:id="10"/>
      <w:bookmarkEnd w:id="11"/>
      <w:bookmarkEnd w:id="12"/>
      <w:bookmarkEnd w:id="13"/>
      <w:bookmarkEnd w:id="14"/>
      <w:bookmarkEnd w:id="15"/>
      <w:bookmarkEnd w:id="16"/>
      <w:bookmarkEnd w:id="17"/>
      <w:bookmarkEnd w:id="18"/>
      <w:bookmarkEnd w:id="19"/>
    </w:p>
    <w:tbl>
      <w:tblPr>
        <w:tblStyle w:val="32"/>
        <w:tblW w:w="9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8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pStyle w:val="38"/>
              <w:keepNext w:val="0"/>
              <w:adjustRightInd/>
              <w:spacing w:line="360" w:lineRule="exact"/>
              <w:textAlignment w:val="auto"/>
              <w:rPr>
                <w:kern w:val="2"/>
                <w:sz w:val="24"/>
                <w:szCs w:val="24"/>
              </w:rPr>
            </w:pPr>
            <w:r>
              <w:rPr>
                <w:kern w:val="2"/>
                <w:sz w:val="24"/>
                <w:szCs w:val="24"/>
              </w:rPr>
              <w:t>调查</w:t>
            </w:r>
          </w:p>
          <w:p>
            <w:pPr>
              <w:pStyle w:val="38"/>
              <w:keepNext w:val="0"/>
              <w:adjustRightInd/>
              <w:spacing w:line="360" w:lineRule="exact"/>
              <w:textAlignment w:val="auto"/>
              <w:rPr>
                <w:kern w:val="2"/>
                <w:sz w:val="24"/>
                <w:szCs w:val="24"/>
              </w:rPr>
            </w:pPr>
            <w:r>
              <w:rPr>
                <w:kern w:val="2"/>
                <w:sz w:val="24"/>
                <w:szCs w:val="24"/>
              </w:rPr>
              <w:t>范围</w:t>
            </w:r>
          </w:p>
        </w:tc>
        <w:tc>
          <w:tcPr>
            <w:tcW w:w="8710" w:type="dxa"/>
          </w:tcPr>
          <w:p>
            <w:pPr>
              <w:spacing w:line="460" w:lineRule="exact"/>
              <w:ind w:firstLine="480" w:firstLineChars="200"/>
              <w:rPr>
                <w:sz w:val="24"/>
              </w:rPr>
            </w:pPr>
            <w:r>
              <w:rPr>
                <w:sz w:val="24"/>
              </w:rPr>
              <w:t>本</w:t>
            </w:r>
            <w:r>
              <w:rPr>
                <w:rFonts w:hint="eastAsia"/>
                <w:sz w:val="24"/>
              </w:rPr>
              <w:t>项目</w:t>
            </w:r>
            <w:r>
              <w:rPr>
                <w:sz w:val="24"/>
              </w:rPr>
              <w:t>竣工验收调查范围与</w:t>
            </w:r>
            <w:r>
              <w:rPr>
                <w:rFonts w:hint="eastAsia"/>
                <w:sz w:val="24"/>
              </w:rPr>
              <w:t>原</w:t>
            </w:r>
            <w:r>
              <w:rPr>
                <w:sz w:val="24"/>
              </w:rPr>
              <w:t>环境影响报告表中的评价范围</w:t>
            </w:r>
            <w:r>
              <w:rPr>
                <w:rFonts w:hint="eastAsia"/>
                <w:sz w:val="24"/>
              </w:rPr>
              <w:t>基本</w:t>
            </w:r>
            <w:r>
              <w:rPr>
                <w:sz w:val="24"/>
              </w:rPr>
              <w:t>一致</w:t>
            </w:r>
            <w:r>
              <w:rPr>
                <w:rFonts w:hint="eastAsia"/>
                <w:sz w:val="24"/>
              </w:rPr>
              <w:t>。</w:t>
            </w:r>
          </w:p>
          <w:p>
            <w:pPr>
              <w:spacing w:line="460" w:lineRule="exact"/>
              <w:ind w:firstLine="480" w:firstLineChars="200"/>
              <w:rPr>
                <w:sz w:val="24"/>
              </w:rPr>
            </w:pPr>
            <w:r>
              <w:rPr>
                <w:sz w:val="24"/>
              </w:rPr>
              <w:t>生态：</w:t>
            </w:r>
            <w:r>
              <w:rPr>
                <w:rFonts w:hint="eastAsia"/>
                <w:sz w:val="24"/>
              </w:rPr>
              <w:t>整个施工作业带，</w:t>
            </w:r>
            <w:r>
              <w:rPr>
                <w:rFonts w:hint="eastAsia"/>
                <w:sz w:val="24"/>
                <w:lang w:eastAsia="zh-CN"/>
              </w:rPr>
              <w:t>作业带宽度约</w:t>
            </w:r>
            <w:r>
              <w:rPr>
                <w:rFonts w:hint="eastAsia"/>
                <w:sz w:val="24"/>
                <w:lang w:val="en-US" w:eastAsia="zh-CN"/>
              </w:rPr>
              <w:t>16m，经济作物区作业带宽12m</w:t>
            </w:r>
            <w:r>
              <w:rPr>
                <w:rFonts w:hint="eastAsia"/>
                <w:sz w:val="24"/>
              </w:rPr>
              <w:t>。</w:t>
            </w:r>
          </w:p>
          <w:p>
            <w:pPr>
              <w:spacing w:line="460" w:lineRule="exact"/>
              <w:ind w:firstLine="480" w:firstLineChars="200"/>
              <w:rPr>
                <w:sz w:val="24"/>
              </w:rPr>
            </w:pPr>
            <w:r>
              <w:rPr>
                <w:sz w:val="24"/>
              </w:rPr>
              <w:t>噪声：</w:t>
            </w:r>
            <w:r>
              <w:rPr>
                <w:rFonts w:hint="eastAsia"/>
                <w:bCs/>
                <w:sz w:val="24"/>
                <w:lang w:eastAsia="zh-CN"/>
              </w:rPr>
              <w:t>孟家井分输站和鸣谦分输站</w:t>
            </w:r>
            <w:r>
              <w:rPr>
                <w:bCs/>
                <w:sz w:val="24"/>
              </w:rPr>
              <w:t>场界噪声</w:t>
            </w:r>
            <w:r>
              <w:rPr>
                <w:rFonts w:hint="eastAsia"/>
                <w:bCs/>
                <w:sz w:val="24"/>
                <w:lang w:eastAsia="zh-CN"/>
              </w:rPr>
              <w:t>以及输气管线</w:t>
            </w:r>
            <w:r>
              <w:rPr>
                <w:bCs/>
                <w:sz w:val="24"/>
              </w:rPr>
              <w:t>对敏感目标的影响</w:t>
            </w:r>
            <w:r>
              <w:rPr>
                <w:sz w:val="24"/>
              </w:rPr>
              <w:t>。</w:t>
            </w:r>
          </w:p>
          <w:p>
            <w:pPr>
              <w:spacing w:line="460" w:lineRule="exact"/>
              <w:ind w:firstLine="480" w:firstLineChars="200"/>
              <w:rPr>
                <w:bCs/>
                <w:sz w:val="24"/>
              </w:rPr>
            </w:pPr>
            <w:r>
              <w:rPr>
                <w:sz w:val="24"/>
              </w:rPr>
              <w:t>大气：</w:t>
            </w:r>
            <w:r>
              <w:rPr>
                <w:bCs/>
                <w:sz w:val="24"/>
              </w:rPr>
              <w:t>站场无组织排放对周围村庄的影响。</w:t>
            </w:r>
          </w:p>
          <w:p>
            <w:pPr>
              <w:spacing w:line="460" w:lineRule="exact"/>
              <w:ind w:firstLine="480" w:firstLineChars="200"/>
              <w:rPr>
                <w:rFonts w:hint="default" w:eastAsia="宋体"/>
                <w:bCs/>
                <w:sz w:val="24"/>
                <w:lang w:val="en-US" w:eastAsia="zh-CN"/>
              </w:rPr>
            </w:pPr>
            <w:r>
              <w:rPr>
                <w:rFonts w:hint="eastAsia"/>
                <w:bCs/>
                <w:sz w:val="24"/>
                <w:lang w:val="en-US" w:eastAsia="zh-CN"/>
              </w:rPr>
              <w:t>固废：</w:t>
            </w:r>
            <w:r>
              <w:rPr>
                <w:rFonts w:hint="eastAsia"/>
                <w:bCs/>
                <w:sz w:val="24"/>
              </w:rPr>
              <w:t>管道敷设弃土弃渣、生活垃圾等固体废物处置情况</w:t>
            </w:r>
            <w:r>
              <w:rPr>
                <w:rFonts w:hint="eastAsia"/>
                <w:bCs/>
                <w:sz w:val="24"/>
                <w:lang w:eastAsia="zh-CN"/>
              </w:rPr>
              <w:t>，</w:t>
            </w:r>
            <w:r>
              <w:rPr>
                <w:rFonts w:hint="eastAsia"/>
                <w:bCs/>
                <w:sz w:val="24"/>
              </w:rPr>
              <w:t>清管废渣</w:t>
            </w:r>
            <w:r>
              <w:rPr>
                <w:rFonts w:hint="eastAsia"/>
                <w:bCs/>
                <w:sz w:val="24"/>
                <w:lang w:val="en-US" w:eastAsia="zh-CN"/>
              </w:rPr>
              <w:t>及站场检修废油处置情况。</w:t>
            </w:r>
          </w:p>
          <w:p>
            <w:pPr>
              <w:spacing w:line="460" w:lineRule="exact"/>
              <w:ind w:firstLine="480" w:firstLineChars="200"/>
              <w:rPr>
                <w:bCs/>
                <w:color w:val="FF0000"/>
                <w:sz w:val="24"/>
              </w:rPr>
            </w:pPr>
            <w:r>
              <w:rPr>
                <w:rFonts w:hint="eastAsia"/>
                <w:bCs/>
                <w:sz w:val="24"/>
              </w:rPr>
              <w:t>水环境</w:t>
            </w:r>
            <w:r>
              <w:rPr>
                <w:bCs/>
                <w:sz w:val="24"/>
              </w:rPr>
              <w:t>：站场的生产废水和生活污水</w:t>
            </w:r>
            <w:r>
              <w:rPr>
                <w:rFonts w:hint="eastAsia"/>
                <w:bCs/>
                <w:sz w:val="24"/>
              </w:rPr>
              <w:t>对周边</w:t>
            </w:r>
            <w:r>
              <w:rPr>
                <w:bCs/>
                <w:sz w:val="24"/>
              </w:rPr>
              <w:t>水环境的影响。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spacing w:line="360" w:lineRule="exact"/>
              <w:jc w:val="center"/>
              <w:rPr>
                <w:sz w:val="24"/>
              </w:rPr>
            </w:pPr>
            <w:r>
              <w:rPr>
                <w:sz w:val="24"/>
              </w:rPr>
              <w:t>调查</w:t>
            </w:r>
          </w:p>
          <w:p>
            <w:pPr>
              <w:spacing w:line="360" w:lineRule="exact"/>
              <w:jc w:val="center"/>
              <w:rPr>
                <w:sz w:val="24"/>
              </w:rPr>
            </w:pPr>
            <w:r>
              <w:rPr>
                <w:sz w:val="24"/>
              </w:rPr>
              <w:t>因子</w:t>
            </w:r>
          </w:p>
        </w:tc>
        <w:tc>
          <w:tcPr>
            <w:tcW w:w="8710" w:type="dxa"/>
          </w:tcPr>
          <w:p>
            <w:pPr>
              <w:spacing w:line="460" w:lineRule="exact"/>
              <w:ind w:firstLine="480" w:firstLineChars="200"/>
              <w:rPr>
                <w:sz w:val="24"/>
              </w:rPr>
            </w:pPr>
            <w:r>
              <w:rPr>
                <w:sz w:val="24"/>
              </w:rPr>
              <w:t>生态环境：</w:t>
            </w:r>
            <w:r>
              <w:rPr>
                <w:bCs/>
                <w:sz w:val="24"/>
              </w:rPr>
              <w:t>工程施工中植被遭到破坏和恢复的情况，工程土地占用的实际情况、临时占地的恢复情况。</w:t>
            </w:r>
            <w:r>
              <w:rPr>
                <w:rFonts w:hint="eastAsia"/>
                <w:bCs/>
                <w:sz w:val="24"/>
              </w:rPr>
              <w:t>调查</w:t>
            </w:r>
            <w:r>
              <w:rPr>
                <w:bCs/>
                <w:sz w:val="24"/>
              </w:rPr>
              <w:t>因子包括土地</w:t>
            </w:r>
            <w:r>
              <w:rPr>
                <w:rFonts w:hint="eastAsia"/>
                <w:bCs/>
                <w:sz w:val="24"/>
              </w:rPr>
              <w:t>占用</w:t>
            </w:r>
            <w:r>
              <w:rPr>
                <w:bCs/>
                <w:sz w:val="24"/>
              </w:rPr>
              <w:t>、植被</w:t>
            </w:r>
            <w:r>
              <w:rPr>
                <w:rFonts w:hint="eastAsia"/>
                <w:bCs/>
                <w:sz w:val="24"/>
              </w:rPr>
              <w:t>破坏、</w:t>
            </w:r>
            <w:r>
              <w:rPr>
                <w:bCs/>
                <w:sz w:val="24"/>
              </w:rPr>
              <w:t>土壤</w:t>
            </w:r>
            <w:r>
              <w:rPr>
                <w:rFonts w:hint="eastAsia"/>
                <w:bCs/>
                <w:sz w:val="24"/>
              </w:rPr>
              <w:t>。</w:t>
            </w:r>
          </w:p>
          <w:p>
            <w:pPr>
              <w:spacing w:line="460" w:lineRule="exact"/>
              <w:ind w:firstLine="480" w:firstLineChars="200"/>
              <w:rPr>
                <w:bCs/>
                <w:sz w:val="24"/>
              </w:rPr>
            </w:pPr>
            <w:r>
              <w:rPr>
                <w:sz w:val="24"/>
              </w:rPr>
              <w:t>噪声：</w:t>
            </w:r>
            <w:r>
              <w:rPr>
                <w:rFonts w:hint="eastAsia"/>
                <w:bCs/>
                <w:sz w:val="24"/>
                <w:lang w:eastAsia="zh-CN"/>
              </w:rPr>
              <w:t>孟家井分输站和鸣谦分输站</w:t>
            </w:r>
            <w:r>
              <w:rPr>
                <w:bCs/>
                <w:sz w:val="24"/>
              </w:rPr>
              <w:t>的噪声污染源及防治措施，场界噪声的等效声级Leq（A）以及敏感目标声环境质量等效声级Leq（A）。</w:t>
            </w:r>
          </w:p>
          <w:p>
            <w:pPr>
              <w:spacing w:line="460" w:lineRule="exact"/>
              <w:ind w:firstLine="480" w:firstLineChars="200"/>
              <w:rPr>
                <w:bCs/>
                <w:sz w:val="24"/>
              </w:rPr>
            </w:pPr>
            <w:r>
              <w:rPr>
                <w:bCs/>
                <w:sz w:val="24"/>
              </w:rPr>
              <w:t>大气：站场阀室点火放空装置排放所产生的废气。</w:t>
            </w:r>
          </w:p>
          <w:p>
            <w:pPr>
              <w:spacing w:line="460" w:lineRule="exact"/>
              <w:ind w:firstLine="480" w:firstLineChars="200"/>
              <w:rPr>
                <w:rFonts w:hint="default" w:eastAsia="宋体"/>
                <w:bCs/>
                <w:sz w:val="24"/>
                <w:lang w:val="en-US" w:eastAsia="zh-CN"/>
              </w:rPr>
            </w:pPr>
            <w:r>
              <w:rPr>
                <w:rFonts w:hint="eastAsia"/>
                <w:bCs/>
                <w:sz w:val="24"/>
                <w:lang w:val="en-US" w:eastAsia="zh-CN"/>
              </w:rPr>
              <w:t>固废：管线敷设固废及站场固废处置情况。</w:t>
            </w:r>
          </w:p>
          <w:p>
            <w:pPr>
              <w:spacing w:line="460" w:lineRule="exact"/>
              <w:ind w:firstLine="480" w:firstLineChars="200"/>
              <w:rPr>
                <w:bCs/>
                <w:color w:val="FF0000"/>
                <w:sz w:val="24"/>
              </w:rPr>
            </w:pPr>
            <w:r>
              <w:rPr>
                <w:rFonts w:hint="eastAsia"/>
                <w:bCs/>
                <w:sz w:val="24"/>
              </w:rPr>
              <w:t>水环境</w:t>
            </w:r>
            <w:r>
              <w:rPr>
                <w:bCs/>
                <w:sz w:val="24"/>
              </w:rPr>
              <w:t>：主要污染物</w:t>
            </w:r>
            <w:r>
              <w:rPr>
                <w:rFonts w:hint="eastAsia"/>
                <w:bCs/>
                <w:sz w:val="24"/>
              </w:rPr>
              <w:t>COD</w:t>
            </w:r>
            <w:r>
              <w:rPr>
                <w:bCs/>
                <w:sz w:val="24"/>
              </w:rPr>
              <w:t>、BOD</w:t>
            </w:r>
            <w:r>
              <w:rPr>
                <w:rFonts w:hint="eastAsia"/>
                <w:bCs/>
                <w:sz w:val="24"/>
              </w:rPr>
              <w:t>、</w:t>
            </w:r>
            <w:r>
              <w:rPr>
                <w:bCs/>
                <w:sz w:val="24"/>
              </w:rPr>
              <w:t>SS</w:t>
            </w:r>
            <w:r>
              <w:rPr>
                <w:rFonts w:hint="eastAsia"/>
                <w:bCs/>
                <w:sz w:val="24"/>
              </w:rPr>
              <w:t>、</w:t>
            </w:r>
            <w:r>
              <w:rPr>
                <w:bCs/>
                <w:sz w:val="24"/>
              </w:rPr>
              <w:t>氨氮、石油类。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spacing w:line="360" w:lineRule="exact"/>
              <w:jc w:val="center"/>
              <w:rPr>
                <w:sz w:val="24"/>
              </w:rPr>
            </w:pPr>
            <w:r>
              <w:rPr>
                <w:sz w:val="24"/>
              </w:rPr>
              <w:t>环境敏感目标</w:t>
            </w:r>
          </w:p>
        </w:tc>
        <w:tc>
          <w:tcPr>
            <w:tcW w:w="8710" w:type="dxa"/>
          </w:tcPr>
          <w:p>
            <w:pPr>
              <w:spacing w:line="460" w:lineRule="exact"/>
              <w:ind w:firstLine="480" w:firstLineChars="200"/>
              <w:rPr>
                <w:bCs/>
                <w:sz w:val="24"/>
              </w:rPr>
            </w:pPr>
            <w:r>
              <w:rPr>
                <w:sz w:val="24"/>
              </w:rPr>
              <w:t>本评价主要保护目标</w:t>
            </w:r>
            <w:r>
              <w:rPr>
                <w:rFonts w:hint="eastAsia"/>
                <w:sz w:val="24"/>
              </w:rPr>
              <w:t>：防止水土流失，保护沿线耕地，保护沿途村庄安全及站场所处区域环境质量满足功能区要求，和对穿越河流、公路等的保护</w:t>
            </w:r>
            <w:r>
              <w:rPr>
                <w:sz w:val="24"/>
              </w:rPr>
              <w:t>。</w:t>
            </w:r>
            <w:r>
              <w:rPr>
                <w:rFonts w:hint="eastAsia"/>
                <w:bCs/>
                <w:sz w:val="24"/>
              </w:rPr>
              <w:t>主要环境保护目标变化情况一览表</w:t>
            </w:r>
            <w:r>
              <w:rPr>
                <w:bCs/>
                <w:sz w:val="24"/>
              </w:rPr>
              <w:t>见表2-1。与保护目标关系图见附图2。</w:t>
            </w:r>
          </w:p>
          <w:p>
            <w:pPr>
              <w:spacing w:line="440" w:lineRule="exact"/>
              <w:ind w:left="2" w:hanging="2" w:hangingChars="1"/>
              <w:jc w:val="center"/>
              <w:rPr>
                <w:b/>
                <w:szCs w:val="21"/>
              </w:rPr>
            </w:pPr>
            <w:r>
              <w:rPr>
                <w:b/>
                <w:szCs w:val="21"/>
              </w:rPr>
              <w:t>表2-1环评主要环境保护目标</w:t>
            </w:r>
            <w:r>
              <w:rPr>
                <w:rFonts w:hint="eastAsia"/>
                <w:b/>
                <w:szCs w:val="21"/>
              </w:rPr>
              <w:t>变化情况一览表</w:t>
            </w:r>
          </w:p>
          <w:tbl>
            <w:tblPr>
              <w:tblStyle w:val="33"/>
              <w:tblW w:w="8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7"/>
              <w:gridCol w:w="847"/>
              <w:gridCol w:w="1298"/>
              <w:gridCol w:w="748"/>
              <w:gridCol w:w="898"/>
              <w:gridCol w:w="1410"/>
              <w:gridCol w:w="662"/>
              <w:gridCol w:w="821"/>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restart"/>
                  <w:vAlign w:val="center"/>
                </w:tcPr>
                <w:p>
                  <w:pPr>
                    <w:pStyle w:val="89"/>
                    <w:rPr>
                      <w:rFonts w:cs="Times New Roman"/>
                    </w:rPr>
                  </w:pPr>
                  <w:r>
                    <w:rPr>
                      <w:rFonts w:cs="Times New Roman"/>
                    </w:rPr>
                    <w:t>环境要素</w:t>
                  </w:r>
                </w:p>
              </w:tc>
              <w:tc>
                <w:tcPr>
                  <w:tcW w:w="847" w:type="dxa"/>
                  <w:vMerge w:val="restart"/>
                  <w:vAlign w:val="center"/>
                </w:tcPr>
                <w:p>
                  <w:pPr>
                    <w:pStyle w:val="89"/>
                    <w:rPr>
                      <w:rFonts w:cs="Times New Roman"/>
                    </w:rPr>
                  </w:pPr>
                  <w:r>
                    <w:rPr>
                      <w:rFonts w:cs="Times New Roman"/>
                    </w:rPr>
                    <w:t>保护时期</w:t>
                  </w:r>
                </w:p>
              </w:tc>
              <w:tc>
                <w:tcPr>
                  <w:tcW w:w="1298" w:type="dxa"/>
                  <w:vMerge w:val="restart"/>
                  <w:vAlign w:val="center"/>
                </w:tcPr>
                <w:p>
                  <w:pPr>
                    <w:pStyle w:val="89"/>
                    <w:rPr>
                      <w:rFonts w:cs="Times New Roman"/>
                    </w:rPr>
                  </w:pPr>
                  <w:r>
                    <w:rPr>
                      <w:rFonts w:cs="Times New Roman"/>
                    </w:rPr>
                    <w:t>保护对象</w:t>
                  </w:r>
                </w:p>
              </w:tc>
              <w:tc>
                <w:tcPr>
                  <w:tcW w:w="3056" w:type="dxa"/>
                  <w:gridSpan w:val="3"/>
                  <w:vAlign w:val="center"/>
                </w:tcPr>
                <w:p>
                  <w:pPr>
                    <w:pStyle w:val="89"/>
                    <w:rPr>
                      <w:rFonts w:cs="Times New Roman"/>
                    </w:rPr>
                  </w:pPr>
                  <w:r>
                    <w:rPr>
                      <w:rFonts w:cs="Times New Roman"/>
                    </w:rPr>
                    <w:t>环评期间</w:t>
                  </w:r>
                </w:p>
              </w:tc>
              <w:tc>
                <w:tcPr>
                  <w:tcW w:w="2756" w:type="dxa"/>
                  <w:gridSpan w:val="3"/>
                  <w:vAlign w:val="center"/>
                </w:tcPr>
                <w:p>
                  <w:pPr>
                    <w:pStyle w:val="89"/>
                    <w:rPr>
                      <w:rFonts w:cs="Times New Roman"/>
                    </w:rPr>
                  </w:pPr>
                  <w:r>
                    <w:rPr>
                      <w:rFonts w:cs="Times New Roman"/>
                    </w:rPr>
                    <w:t>验收期间实际情况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Merge w:val="continue"/>
                  <w:vAlign w:val="center"/>
                </w:tcPr>
                <w:p>
                  <w:pPr>
                    <w:pStyle w:val="89"/>
                    <w:rPr>
                      <w:rFonts w:cs="Times New Roman"/>
                    </w:rPr>
                  </w:pPr>
                </w:p>
              </w:tc>
              <w:tc>
                <w:tcPr>
                  <w:tcW w:w="748" w:type="dxa"/>
                  <w:vAlign w:val="center"/>
                </w:tcPr>
                <w:p>
                  <w:pPr>
                    <w:pStyle w:val="89"/>
                    <w:rPr>
                      <w:rFonts w:cs="Times New Roman"/>
                    </w:rPr>
                  </w:pPr>
                  <w:r>
                    <w:rPr>
                      <w:rFonts w:cs="Times New Roman"/>
                    </w:rPr>
                    <w:t>方位</w:t>
                  </w:r>
                </w:p>
              </w:tc>
              <w:tc>
                <w:tcPr>
                  <w:tcW w:w="898" w:type="dxa"/>
                  <w:vAlign w:val="center"/>
                </w:tcPr>
                <w:p>
                  <w:pPr>
                    <w:pStyle w:val="89"/>
                    <w:rPr>
                      <w:rFonts w:cs="Times New Roman"/>
                    </w:rPr>
                  </w:pPr>
                  <w:r>
                    <w:rPr>
                      <w:rFonts w:cs="Times New Roman"/>
                    </w:rPr>
                    <w:t>距离（m）</w:t>
                  </w:r>
                </w:p>
              </w:tc>
              <w:tc>
                <w:tcPr>
                  <w:tcW w:w="1410" w:type="dxa"/>
                  <w:vAlign w:val="center"/>
                </w:tcPr>
                <w:p>
                  <w:pPr>
                    <w:pStyle w:val="89"/>
                    <w:rPr>
                      <w:rFonts w:cs="Times New Roman"/>
                    </w:rPr>
                  </w:pPr>
                  <w:r>
                    <w:rPr>
                      <w:rFonts w:cs="Times New Roman"/>
                    </w:rPr>
                    <w:t>备注</w:t>
                  </w:r>
                </w:p>
              </w:tc>
              <w:tc>
                <w:tcPr>
                  <w:tcW w:w="662" w:type="dxa"/>
                  <w:vAlign w:val="center"/>
                </w:tcPr>
                <w:p>
                  <w:pPr>
                    <w:pStyle w:val="89"/>
                    <w:rPr>
                      <w:rFonts w:cs="Times New Roman"/>
                    </w:rPr>
                  </w:pPr>
                  <w:r>
                    <w:rPr>
                      <w:rFonts w:cs="Times New Roman"/>
                    </w:rPr>
                    <w:t>方位</w:t>
                  </w:r>
                </w:p>
              </w:tc>
              <w:tc>
                <w:tcPr>
                  <w:tcW w:w="821" w:type="dxa"/>
                  <w:vAlign w:val="center"/>
                </w:tcPr>
                <w:p>
                  <w:pPr>
                    <w:pStyle w:val="89"/>
                    <w:rPr>
                      <w:rFonts w:cs="Times New Roman"/>
                    </w:rPr>
                  </w:pPr>
                  <w:r>
                    <w:rPr>
                      <w:rFonts w:cs="Times New Roman"/>
                    </w:rPr>
                    <w:t>距离（m）</w:t>
                  </w:r>
                </w:p>
              </w:tc>
              <w:tc>
                <w:tcPr>
                  <w:tcW w:w="1273" w:type="dxa"/>
                  <w:vAlign w:val="center"/>
                </w:tcPr>
                <w:p>
                  <w:pPr>
                    <w:pStyle w:val="89"/>
                    <w:rPr>
                      <w:rFonts w:cs="Times New Roman"/>
                    </w:rPr>
                  </w:pPr>
                  <w:r>
                    <w:rPr>
                      <w:rFonts w:cs="Times New Roma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restart"/>
                  <w:vAlign w:val="center"/>
                </w:tcPr>
                <w:p>
                  <w:pPr>
                    <w:pStyle w:val="89"/>
                    <w:rPr>
                      <w:rFonts w:cs="Times New Roman"/>
                    </w:rPr>
                  </w:pPr>
                  <w:r>
                    <w:rPr>
                      <w:rFonts w:cs="Times New Roman"/>
                    </w:rPr>
                    <w:t>环境空气</w:t>
                  </w:r>
                </w:p>
              </w:tc>
              <w:tc>
                <w:tcPr>
                  <w:tcW w:w="847" w:type="dxa"/>
                  <w:vMerge w:val="restart"/>
                  <w:vAlign w:val="center"/>
                </w:tcPr>
                <w:p>
                  <w:pPr>
                    <w:pStyle w:val="89"/>
                    <w:rPr>
                      <w:rFonts w:cs="Times New Roman"/>
                    </w:rPr>
                  </w:pPr>
                  <w:r>
                    <w:rPr>
                      <w:rFonts w:cs="Times New Roman"/>
                    </w:rPr>
                    <w:t>施</w:t>
                  </w:r>
                </w:p>
                <w:p>
                  <w:pPr>
                    <w:pStyle w:val="89"/>
                    <w:rPr>
                      <w:rFonts w:cs="Times New Roman"/>
                    </w:rPr>
                  </w:pPr>
                  <w:r>
                    <w:rPr>
                      <w:rFonts w:cs="Times New Roman"/>
                    </w:rPr>
                    <w:t>工</w:t>
                  </w:r>
                </w:p>
                <w:p>
                  <w:pPr>
                    <w:pStyle w:val="89"/>
                    <w:rPr>
                      <w:rFonts w:cs="Times New Roman"/>
                    </w:rPr>
                  </w:pPr>
                  <w:r>
                    <w:rPr>
                      <w:rFonts w:cs="Times New Roman"/>
                    </w:rPr>
                    <w:t>期</w:t>
                  </w:r>
                </w:p>
                <w:p>
                  <w:pPr>
                    <w:pStyle w:val="89"/>
                    <w:rPr>
                      <w:rFonts w:cs="Times New Roman"/>
                    </w:rPr>
                  </w:pPr>
                  <w:r>
                    <w:rPr>
                      <w:rFonts w:cs="Times New Roman"/>
                    </w:rPr>
                    <w:t>和</w:t>
                  </w:r>
                </w:p>
                <w:p>
                  <w:pPr>
                    <w:pStyle w:val="89"/>
                    <w:rPr>
                      <w:rFonts w:cs="Times New Roman"/>
                    </w:rPr>
                  </w:pPr>
                  <w:r>
                    <w:rPr>
                      <w:rFonts w:cs="Times New Roman"/>
                    </w:rPr>
                    <w:t>运</w:t>
                  </w:r>
                </w:p>
                <w:p>
                  <w:pPr>
                    <w:pStyle w:val="89"/>
                    <w:rPr>
                      <w:rFonts w:cs="Times New Roman"/>
                    </w:rPr>
                  </w:pPr>
                  <w:r>
                    <w:rPr>
                      <w:rFonts w:cs="Times New Roman"/>
                    </w:rPr>
                    <w:t>营</w:t>
                  </w:r>
                </w:p>
                <w:p>
                  <w:pPr>
                    <w:pStyle w:val="89"/>
                    <w:rPr>
                      <w:rFonts w:cs="Times New Roman"/>
                    </w:rPr>
                  </w:pPr>
                  <w:r>
                    <w:rPr>
                      <w:rFonts w:cs="Times New Roman"/>
                    </w:rPr>
                    <w:t>期</w:t>
                  </w:r>
                </w:p>
              </w:tc>
              <w:tc>
                <w:tcPr>
                  <w:tcW w:w="1298" w:type="dxa"/>
                  <w:vAlign w:val="center"/>
                </w:tcPr>
                <w:p>
                  <w:pPr>
                    <w:pStyle w:val="89"/>
                    <w:rPr>
                      <w:rFonts w:cs="Times New Roman"/>
                    </w:rPr>
                  </w:pPr>
                  <w:r>
                    <w:rPr>
                      <w:rFonts w:hint="eastAsia" w:cs="Times New Roman"/>
                    </w:rPr>
                    <w:t>崔家墕村</w:t>
                  </w:r>
                </w:p>
              </w:tc>
              <w:tc>
                <w:tcPr>
                  <w:tcW w:w="748" w:type="dxa"/>
                  <w:vAlign w:val="center"/>
                </w:tcPr>
                <w:p>
                  <w:pPr>
                    <w:pStyle w:val="89"/>
                    <w:rPr>
                      <w:rFonts w:cs="Times New Roman"/>
                    </w:rPr>
                  </w:pPr>
                  <w:r>
                    <w:rPr>
                      <w:rFonts w:hint="eastAsia" w:cs="Times New Roman"/>
                    </w:rPr>
                    <w:t>S</w:t>
                  </w:r>
                </w:p>
              </w:tc>
              <w:tc>
                <w:tcPr>
                  <w:tcW w:w="898" w:type="dxa"/>
                  <w:vAlign w:val="center"/>
                </w:tcPr>
                <w:p>
                  <w:pPr>
                    <w:pStyle w:val="89"/>
                    <w:rPr>
                      <w:rFonts w:cs="Times New Roman"/>
                    </w:rPr>
                  </w:pPr>
                  <w:r>
                    <w:rPr>
                      <w:rFonts w:hint="eastAsia" w:cs="Times New Roman"/>
                    </w:rPr>
                    <w:t>172</w:t>
                  </w:r>
                </w:p>
              </w:tc>
              <w:tc>
                <w:tcPr>
                  <w:tcW w:w="1410" w:type="dxa"/>
                  <w:vMerge w:val="restart"/>
                  <w:vAlign w:val="center"/>
                </w:tcPr>
                <w:p>
                  <w:pPr>
                    <w:pStyle w:val="89"/>
                    <w:rPr>
                      <w:rFonts w:cs="Times New Roman"/>
                    </w:rPr>
                  </w:pPr>
                  <w:r>
                    <w:rPr>
                      <w:rFonts w:cs="Times New Roman"/>
                    </w:rPr>
                    <w:t>相对</w:t>
                  </w:r>
                  <w:r>
                    <w:rPr>
                      <w:rFonts w:hint="eastAsia" w:cs="Times New Roman"/>
                    </w:rPr>
                    <w:t>管线</w:t>
                  </w:r>
                </w:p>
              </w:tc>
              <w:tc>
                <w:tcPr>
                  <w:tcW w:w="2756" w:type="dxa"/>
                  <w:gridSpan w:val="3"/>
                  <w:vMerge w:val="restart"/>
                  <w:vAlign w:val="center"/>
                </w:tcPr>
                <w:p>
                  <w:pPr>
                    <w:pStyle w:val="89"/>
                    <w:rPr>
                      <w:rFonts w:cs="Times New Roman"/>
                    </w:rPr>
                  </w:pPr>
                  <w:bookmarkStart w:id="20" w:name="OLE_LINK1"/>
                  <w:r>
                    <w:rPr>
                      <w:rFonts w:cs="Times New Roman"/>
                    </w:rPr>
                    <w:t>与环评一致</w:t>
                  </w:r>
                  <w:bookmarkEnd w:id="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Align w:val="center"/>
                </w:tcPr>
                <w:p>
                  <w:pPr>
                    <w:pStyle w:val="89"/>
                    <w:rPr>
                      <w:rFonts w:cs="Times New Roman"/>
                    </w:rPr>
                  </w:pPr>
                  <w:r>
                    <w:rPr>
                      <w:rFonts w:hint="eastAsia" w:cs="Times New Roman"/>
                    </w:rPr>
                    <w:t>前会村</w:t>
                  </w:r>
                </w:p>
              </w:tc>
              <w:tc>
                <w:tcPr>
                  <w:tcW w:w="748" w:type="dxa"/>
                  <w:vAlign w:val="center"/>
                </w:tcPr>
                <w:p>
                  <w:pPr>
                    <w:pStyle w:val="89"/>
                    <w:rPr>
                      <w:rFonts w:cs="Times New Roman"/>
                    </w:rPr>
                  </w:pPr>
                  <w:r>
                    <w:rPr>
                      <w:rFonts w:hint="eastAsia" w:cs="Times New Roman"/>
                    </w:rPr>
                    <w:t>N</w:t>
                  </w:r>
                </w:p>
              </w:tc>
              <w:tc>
                <w:tcPr>
                  <w:tcW w:w="898" w:type="dxa"/>
                  <w:vAlign w:val="center"/>
                </w:tcPr>
                <w:p>
                  <w:pPr>
                    <w:pStyle w:val="89"/>
                    <w:rPr>
                      <w:rFonts w:cs="Times New Roman"/>
                    </w:rPr>
                  </w:pPr>
                  <w:r>
                    <w:rPr>
                      <w:rFonts w:hint="eastAsia" w:cs="Times New Roman"/>
                    </w:rPr>
                    <w:t>30</w:t>
                  </w:r>
                </w:p>
              </w:tc>
              <w:tc>
                <w:tcPr>
                  <w:tcW w:w="1410" w:type="dxa"/>
                  <w:vMerge w:val="continue"/>
                  <w:vAlign w:val="center"/>
                </w:tcPr>
                <w:p>
                  <w:pPr>
                    <w:pStyle w:val="89"/>
                    <w:rPr>
                      <w:rFonts w:cs="Times New Roman"/>
                    </w:rPr>
                  </w:pPr>
                </w:p>
              </w:tc>
              <w:tc>
                <w:tcPr>
                  <w:tcW w:w="2756" w:type="dxa"/>
                  <w:gridSpan w:val="3"/>
                  <w:vMerge w:val="continue"/>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Align w:val="center"/>
                </w:tcPr>
                <w:p>
                  <w:pPr>
                    <w:pStyle w:val="89"/>
                    <w:rPr>
                      <w:rFonts w:cs="Times New Roman"/>
                    </w:rPr>
                  </w:pPr>
                  <w:r>
                    <w:rPr>
                      <w:rFonts w:hint="eastAsia" w:cs="Times New Roman"/>
                    </w:rPr>
                    <w:t>故城村</w:t>
                  </w:r>
                </w:p>
              </w:tc>
              <w:tc>
                <w:tcPr>
                  <w:tcW w:w="748" w:type="dxa"/>
                  <w:vAlign w:val="center"/>
                </w:tcPr>
                <w:p>
                  <w:pPr>
                    <w:pStyle w:val="89"/>
                    <w:rPr>
                      <w:rFonts w:cs="Times New Roman"/>
                    </w:rPr>
                  </w:pPr>
                  <w:r>
                    <w:rPr>
                      <w:rFonts w:hint="eastAsia" w:cs="Times New Roman"/>
                    </w:rPr>
                    <w:t>N</w:t>
                  </w:r>
                </w:p>
              </w:tc>
              <w:tc>
                <w:tcPr>
                  <w:tcW w:w="898" w:type="dxa"/>
                  <w:vAlign w:val="center"/>
                </w:tcPr>
                <w:p>
                  <w:pPr>
                    <w:pStyle w:val="89"/>
                    <w:rPr>
                      <w:rFonts w:cs="Times New Roman"/>
                    </w:rPr>
                  </w:pPr>
                  <w:r>
                    <w:rPr>
                      <w:rFonts w:hint="eastAsia" w:cs="Times New Roman"/>
                    </w:rPr>
                    <w:t>90</w:t>
                  </w:r>
                </w:p>
              </w:tc>
              <w:tc>
                <w:tcPr>
                  <w:tcW w:w="1410" w:type="dxa"/>
                  <w:vMerge w:val="continue"/>
                  <w:vAlign w:val="center"/>
                </w:tcPr>
                <w:p>
                  <w:pPr>
                    <w:pStyle w:val="89"/>
                    <w:rPr>
                      <w:rFonts w:cs="Times New Roman"/>
                    </w:rPr>
                  </w:pPr>
                </w:p>
              </w:tc>
              <w:tc>
                <w:tcPr>
                  <w:tcW w:w="2756" w:type="dxa"/>
                  <w:gridSpan w:val="3"/>
                  <w:vMerge w:val="continue"/>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Align w:val="center"/>
                </w:tcPr>
                <w:p>
                  <w:pPr>
                    <w:pStyle w:val="89"/>
                    <w:rPr>
                      <w:rFonts w:cs="Times New Roman"/>
                    </w:rPr>
                  </w:pPr>
                  <w:r>
                    <w:rPr>
                      <w:rFonts w:hint="eastAsia" w:cs="Times New Roman"/>
                    </w:rPr>
                    <w:t>山头村</w:t>
                  </w:r>
                </w:p>
              </w:tc>
              <w:tc>
                <w:tcPr>
                  <w:tcW w:w="748" w:type="dxa"/>
                  <w:vAlign w:val="center"/>
                </w:tcPr>
                <w:p>
                  <w:pPr>
                    <w:pStyle w:val="89"/>
                    <w:rPr>
                      <w:rFonts w:cs="Times New Roman"/>
                    </w:rPr>
                  </w:pPr>
                  <w:r>
                    <w:rPr>
                      <w:rFonts w:hint="eastAsia" w:cs="Times New Roman"/>
                    </w:rPr>
                    <w:t>SE</w:t>
                  </w:r>
                </w:p>
              </w:tc>
              <w:tc>
                <w:tcPr>
                  <w:tcW w:w="898" w:type="dxa"/>
                  <w:vAlign w:val="center"/>
                </w:tcPr>
                <w:p>
                  <w:pPr>
                    <w:pStyle w:val="89"/>
                    <w:rPr>
                      <w:rFonts w:cs="Times New Roman"/>
                    </w:rPr>
                  </w:pPr>
                  <w:r>
                    <w:rPr>
                      <w:rFonts w:hint="eastAsia" w:cs="Times New Roman"/>
                    </w:rPr>
                    <w:t>400</w:t>
                  </w:r>
                </w:p>
              </w:tc>
              <w:tc>
                <w:tcPr>
                  <w:tcW w:w="1410" w:type="dxa"/>
                  <w:vMerge w:val="continue"/>
                  <w:vAlign w:val="center"/>
                </w:tcPr>
                <w:p>
                  <w:pPr>
                    <w:pStyle w:val="89"/>
                    <w:rPr>
                      <w:rFonts w:cs="Times New Roman"/>
                    </w:rPr>
                  </w:pPr>
                </w:p>
              </w:tc>
              <w:tc>
                <w:tcPr>
                  <w:tcW w:w="2756" w:type="dxa"/>
                  <w:gridSpan w:val="3"/>
                  <w:vMerge w:val="continue"/>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Align w:val="center"/>
                </w:tcPr>
                <w:p>
                  <w:pPr>
                    <w:pStyle w:val="89"/>
                    <w:rPr>
                      <w:rFonts w:cs="Times New Roman"/>
                    </w:rPr>
                  </w:pPr>
                  <w:r>
                    <w:rPr>
                      <w:rFonts w:hint="eastAsia" w:cs="Times New Roman"/>
                    </w:rPr>
                    <w:t>花园村</w:t>
                  </w:r>
                </w:p>
              </w:tc>
              <w:tc>
                <w:tcPr>
                  <w:tcW w:w="748" w:type="dxa"/>
                  <w:vAlign w:val="center"/>
                </w:tcPr>
                <w:p>
                  <w:pPr>
                    <w:pStyle w:val="89"/>
                    <w:rPr>
                      <w:rFonts w:cs="Times New Roman"/>
                    </w:rPr>
                  </w:pPr>
                  <w:r>
                    <w:rPr>
                      <w:rFonts w:hint="eastAsia" w:cs="Times New Roman"/>
                    </w:rPr>
                    <w:t>S</w:t>
                  </w:r>
                </w:p>
              </w:tc>
              <w:tc>
                <w:tcPr>
                  <w:tcW w:w="898" w:type="dxa"/>
                  <w:vAlign w:val="center"/>
                </w:tcPr>
                <w:p>
                  <w:pPr>
                    <w:pStyle w:val="89"/>
                    <w:rPr>
                      <w:rFonts w:cs="Times New Roman"/>
                    </w:rPr>
                  </w:pPr>
                  <w:r>
                    <w:rPr>
                      <w:rFonts w:hint="eastAsia" w:cs="Times New Roman"/>
                    </w:rPr>
                    <w:t>1000</w:t>
                  </w:r>
                </w:p>
              </w:tc>
              <w:tc>
                <w:tcPr>
                  <w:tcW w:w="1410" w:type="dxa"/>
                  <w:vMerge w:val="continue"/>
                  <w:vAlign w:val="center"/>
                </w:tcPr>
                <w:p>
                  <w:pPr>
                    <w:pStyle w:val="89"/>
                    <w:rPr>
                      <w:rFonts w:cs="Times New Roman"/>
                    </w:rPr>
                  </w:pPr>
                </w:p>
              </w:tc>
              <w:tc>
                <w:tcPr>
                  <w:tcW w:w="2756" w:type="dxa"/>
                  <w:gridSpan w:val="3"/>
                  <w:vMerge w:val="continue"/>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restart"/>
                  <w:vAlign w:val="center"/>
                </w:tcPr>
                <w:p>
                  <w:pPr>
                    <w:pStyle w:val="89"/>
                    <w:rPr>
                      <w:rFonts w:cs="Times New Roman"/>
                    </w:rPr>
                  </w:pPr>
                  <w:r>
                    <w:rPr>
                      <w:rFonts w:cs="Times New Roman"/>
                    </w:rPr>
                    <w:t>地表水</w:t>
                  </w:r>
                </w:p>
              </w:tc>
              <w:tc>
                <w:tcPr>
                  <w:tcW w:w="847" w:type="dxa"/>
                  <w:vMerge w:val="restart"/>
                  <w:vAlign w:val="center"/>
                </w:tcPr>
                <w:p>
                  <w:pPr>
                    <w:pStyle w:val="89"/>
                    <w:rPr>
                      <w:rFonts w:cs="Times New Roman"/>
                    </w:rPr>
                  </w:pPr>
                  <w:r>
                    <w:rPr>
                      <w:rFonts w:cs="Times New Roman"/>
                    </w:rPr>
                    <w:t>施工期和运营期</w:t>
                  </w:r>
                </w:p>
              </w:tc>
              <w:tc>
                <w:tcPr>
                  <w:tcW w:w="1298" w:type="dxa"/>
                  <w:vAlign w:val="center"/>
                </w:tcPr>
                <w:p>
                  <w:pPr>
                    <w:pStyle w:val="89"/>
                    <w:rPr>
                      <w:rFonts w:cs="Times New Roman"/>
                    </w:rPr>
                  </w:pPr>
                  <w:r>
                    <w:rPr>
                      <w:rFonts w:hint="eastAsia" w:cs="Times New Roman"/>
                    </w:rPr>
                    <w:t>朱家川</w:t>
                  </w:r>
                  <w:r>
                    <w:rPr>
                      <w:rFonts w:cs="Times New Roman"/>
                    </w:rPr>
                    <w:t>河</w:t>
                  </w:r>
                </w:p>
              </w:tc>
              <w:tc>
                <w:tcPr>
                  <w:tcW w:w="1646" w:type="dxa"/>
                  <w:gridSpan w:val="2"/>
                  <w:vAlign w:val="center"/>
                </w:tcPr>
                <w:p>
                  <w:pPr>
                    <w:pStyle w:val="89"/>
                    <w:rPr>
                      <w:rFonts w:cs="Times New Roman"/>
                    </w:rPr>
                  </w:pPr>
                  <w:r>
                    <w:rPr>
                      <w:rFonts w:cs="Times New Roman"/>
                    </w:rPr>
                    <w:t>穿越</w:t>
                  </w:r>
                  <w:r>
                    <w:rPr>
                      <w:rFonts w:hint="eastAsia" w:cs="Times New Roman"/>
                    </w:rPr>
                    <w:t>107</w:t>
                  </w:r>
                  <w:r>
                    <w:rPr>
                      <w:rFonts w:cs="Times New Roman"/>
                    </w:rPr>
                    <w:t>m</w:t>
                  </w:r>
                </w:p>
              </w:tc>
              <w:tc>
                <w:tcPr>
                  <w:tcW w:w="1410" w:type="dxa"/>
                  <w:vAlign w:val="center"/>
                </w:tcPr>
                <w:p>
                  <w:pPr>
                    <w:pStyle w:val="89"/>
                    <w:rPr>
                      <w:rFonts w:cs="Times New Roman"/>
                    </w:rPr>
                  </w:pPr>
                  <w:r>
                    <w:rPr>
                      <w:rFonts w:cs="Times New Roman"/>
                    </w:rPr>
                    <w:t>穿越</w:t>
                  </w:r>
                  <w:r>
                    <w:rPr>
                      <w:rFonts w:hint="eastAsia" w:cs="Times New Roman"/>
                    </w:rPr>
                    <w:t>1</w:t>
                  </w:r>
                  <w:r>
                    <w:rPr>
                      <w:rFonts w:cs="Times New Roman"/>
                    </w:rPr>
                    <w:t>次</w:t>
                  </w:r>
                </w:p>
              </w:tc>
              <w:tc>
                <w:tcPr>
                  <w:tcW w:w="2756" w:type="dxa"/>
                  <w:gridSpan w:val="3"/>
                  <w:vAlign w:val="center"/>
                </w:tcPr>
                <w:p>
                  <w:pPr>
                    <w:pStyle w:val="89"/>
                    <w:rPr>
                      <w:rFonts w:cs="Times New Roman"/>
                    </w:rPr>
                  </w:pPr>
                  <w:r>
                    <w:rPr>
                      <w:rFonts w:hint="eastAsia" w:cs="Times New Roman"/>
                    </w:rPr>
                    <w:t>位置发生变化，穿越距离约90m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Align w:val="center"/>
                </w:tcPr>
                <w:p>
                  <w:pPr>
                    <w:pStyle w:val="89"/>
                    <w:rPr>
                      <w:rFonts w:cs="Times New Roman"/>
                    </w:rPr>
                  </w:pPr>
                  <w:r>
                    <w:rPr>
                      <w:rFonts w:hint="eastAsia" w:cs="Times New Roman"/>
                    </w:rPr>
                    <w:t>黄</w:t>
                  </w:r>
                  <w:r>
                    <w:rPr>
                      <w:rFonts w:cs="Times New Roman"/>
                    </w:rPr>
                    <w:t>河</w:t>
                  </w:r>
                </w:p>
              </w:tc>
              <w:tc>
                <w:tcPr>
                  <w:tcW w:w="748" w:type="dxa"/>
                  <w:vAlign w:val="center"/>
                </w:tcPr>
                <w:p>
                  <w:pPr>
                    <w:pStyle w:val="89"/>
                    <w:rPr>
                      <w:rFonts w:cs="Times New Roman"/>
                    </w:rPr>
                  </w:pPr>
                  <w:r>
                    <w:rPr>
                      <w:rFonts w:hint="eastAsia" w:cs="Times New Roman"/>
                    </w:rPr>
                    <w:t>W</w:t>
                  </w:r>
                </w:p>
              </w:tc>
              <w:tc>
                <w:tcPr>
                  <w:tcW w:w="898" w:type="dxa"/>
                  <w:vAlign w:val="center"/>
                </w:tcPr>
                <w:p>
                  <w:pPr>
                    <w:pStyle w:val="89"/>
                    <w:rPr>
                      <w:rFonts w:cs="Times New Roman"/>
                    </w:rPr>
                  </w:pPr>
                  <w:r>
                    <w:rPr>
                      <w:rFonts w:hint="eastAsia" w:cs="Times New Roman"/>
                    </w:rPr>
                    <w:t>1300</w:t>
                  </w:r>
                </w:p>
              </w:tc>
              <w:tc>
                <w:tcPr>
                  <w:tcW w:w="1410" w:type="dxa"/>
                  <w:vAlign w:val="center"/>
                </w:tcPr>
                <w:p>
                  <w:pPr>
                    <w:pStyle w:val="89"/>
                    <w:rPr>
                      <w:rFonts w:cs="Times New Roman"/>
                    </w:rPr>
                  </w:pPr>
                  <w:r>
                    <w:rPr>
                      <w:rFonts w:hint="eastAsia" w:cs="Times New Roman"/>
                    </w:rPr>
                    <w:t>相对管线</w:t>
                  </w:r>
                </w:p>
              </w:tc>
              <w:tc>
                <w:tcPr>
                  <w:tcW w:w="2756" w:type="dxa"/>
                  <w:gridSpan w:val="3"/>
                  <w:vAlign w:val="center"/>
                </w:tcPr>
                <w:p>
                  <w:pPr>
                    <w:pStyle w:val="89"/>
                    <w:rPr>
                      <w:rFonts w:cs="Times New Roman"/>
                    </w:rPr>
                  </w:pPr>
                  <w:r>
                    <w:rPr>
                      <w:rFonts w:cs="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Align w:val="center"/>
                </w:tcPr>
                <w:p>
                  <w:pPr>
                    <w:pStyle w:val="89"/>
                    <w:rPr>
                      <w:rFonts w:cs="Times New Roman"/>
                    </w:rPr>
                  </w:pPr>
                  <w:r>
                    <w:rPr>
                      <w:rFonts w:cs="Times New Roman"/>
                    </w:rPr>
                    <w:t>地下水</w:t>
                  </w:r>
                </w:p>
              </w:tc>
              <w:tc>
                <w:tcPr>
                  <w:tcW w:w="847" w:type="dxa"/>
                  <w:vAlign w:val="center"/>
                </w:tcPr>
                <w:p>
                  <w:pPr>
                    <w:pStyle w:val="89"/>
                    <w:rPr>
                      <w:rFonts w:cs="Times New Roman"/>
                    </w:rPr>
                  </w:pPr>
                  <w:r>
                    <w:rPr>
                      <w:rFonts w:cs="Times New Roman"/>
                    </w:rPr>
                    <w:t>施工期和运营期</w:t>
                  </w:r>
                </w:p>
              </w:tc>
              <w:tc>
                <w:tcPr>
                  <w:tcW w:w="2944" w:type="dxa"/>
                  <w:gridSpan w:val="3"/>
                  <w:vAlign w:val="center"/>
                </w:tcPr>
                <w:p>
                  <w:pPr>
                    <w:pStyle w:val="89"/>
                    <w:rPr>
                      <w:rFonts w:cs="Times New Roman"/>
                    </w:rPr>
                  </w:pPr>
                  <w:r>
                    <w:rPr>
                      <w:rFonts w:hint="eastAsia" w:cs="Times New Roman"/>
                    </w:rPr>
                    <w:t>天桥泉域</w:t>
                  </w:r>
                </w:p>
              </w:tc>
              <w:tc>
                <w:tcPr>
                  <w:tcW w:w="1410" w:type="dxa"/>
                  <w:vAlign w:val="center"/>
                </w:tcPr>
                <w:p>
                  <w:pPr>
                    <w:pStyle w:val="89"/>
                    <w:rPr>
                      <w:rFonts w:cs="Times New Roman"/>
                    </w:rPr>
                  </w:pPr>
                  <w:r>
                    <w:rPr>
                      <w:rFonts w:hint="eastAsia" w:cs="Times New Roman"/>
                    </w:rPr>
                    <w:t>管线位于天桥泉域重点保护区范围东侧约2km</w:t>
                  </w:r>
                  <w:r>
                    <w:rPr>
                      <w:rFonts w:cs="Times New Roman"/>
                    </w:rPr>
                    <w:t xml:space="preserve"> </w:t>
                  </w:r>
                </w:p>
              </w:tc>
              <w:tc>
                <w:tcPr>
                  <w:tcW w:w="2756" w:type="dxa"/>
                  <w:gridSpan w:val="3"/>
                  <w:vAlign w:val="center"/>
                </w:tcPr>
                <w:p>
                  <w:pPr>
                    <w:pStyle w:val="89"/>
                    <w:rPr>
                      <w:rFonts w:cs="Times New Roman"/>
                    </w:rPr>
                  </w:pPr>
                  <w:r>
                    <w:rPr>
                      <w:rFonts w:cs="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restart"/>
                  <w:vAlign w:val="center"/>
                </w:tcPr>
                <w:p>
                  <w:pPr>
                    <w:pStyle w:val="89"/>
                    <w:rPr>
                      <w:rFonts w:cs="Times New Roman"/>
                    </w:rPr>
                  </w:pPr>
                  <w:r>
                    <w:rPr>
                      <w:rFonts w:hint="eastAsia" w:cs="Times New Roman"/>
                    </w:rPr>
                    <w:t>声环境</w:t>
                  </w:r>
                </w:p>
              </w:tc>
              <w:tc>
                <w:tcPr>
                  <w:tcW w:w="847" w:type="dxa"/>
                  <w:vMerge w:val="restart"/>
                  <w:vAlign w:val="center"/>
                </w:tcPr>
                <w:p>
                  <w:pPr>
                    <w:pStyle w:val="89"/>
                    <w:rPr>
                      <w:rFonts w:cs="Times New Roman"/>
                    </w:rPr>
                  </w:pPr>
                  <w:r>
                    <w:rPr>
                      <w:rFonts w:cs="Times New Roman"/>
                    </w:rPr>
                    <w:t>施工期和运营期</w:t>
                  </w:r>
                </w:p>
              </w:tc>
              <w:tc>
                <w:tcPr>
                  <w:tcW w:w="1298" w:type="dxa"/>
                  <w:vAlign w:val="center"/>
                </w:tcPr>
                <w:p>
                  <w:pPr>
                    <w:pStyle w:val="89"/>
                    <w:rPr>
                      <w:rFonts w:cs="Times New Roman"/>
                    </w:rPr>
                  </w:pPr>
                  <w:r>
                    <w:rPr>
                      <w:rFonts w:hint="eastAsia" w:cs="Times New Roman"/>
                    </w:rPr>
                    <w:t>崔家墕</w:t>
                  </w:r>
                  <w:r>
                    <w:rPr>
                      <w:rFonts w:cs="Times New Roman"/>
                    </w:rPr>
                    <w:t>村</w:t>
                  </w:r>
                </w:p>
              </w:tc>
              <w:tc>
                <w:tcPr>
                  <w:tcW w:w="748" w:type="dxa"/>
                  <w:vAlign w:val="center"/>
                </w:tcPr>
                <w:p>
                  <w:pPr>
                    <w:pStyle w:val="89"/>
                    <w:rPr>
                      <w:rFonts w:cs="Times New Roman"/>
                    </w:rPr>
                  </w:pPr>
                  <w:r>
                    <w:rPr>
                      <w:rFonts w:cs="Times New Roman"/>
                    </w:rPr>
                    <w:t>N</w:t>
                  </w:r>
                  <w:r>
                    <w:rPr>
                      <w:rFonts w:hint="eastAsia" w:cs="Times New Roman"/>
                    </w:rPr>
                    <w:t>W</w:t>
                  </w:r>
                </w:p>
              </w:tc>
              <w:tc>
                <w:tcPr>
                  <w:tcW w:w="898" w:type="dxa"/>
                  <w:vAlign w:val="center"/>
                </w:tcPr>
                <w:p>
                  <w:pPr>
                    <w:pStyle w:val="89"/>
                    <w:rPr>
                      <w:rFonts w:cs="Times New Roman"/>
                    </w:rPr>
                  </w:pPr>
                  <w:r>
                    <w:rPr>
                      <w:rFonts w:hint="eastAsia" w:cs="Times New Roman"/>
                    </w:rPr>
                    <w:t>9</w:t>
                  </w:r>
                  <w:r>
                    <w:rPr>
                      <w:rFonts w:cs="Times New Roman"/>
                    </w:rPr>
                    <w:t>00</w:t>
                  </w:r>
                </w:p>
              </w:tc>
              <w:tc>
                <w:tcPr>
                  <w:tcW w:w="1410" w:type="dxa"/>
                  <w:vMerge w:val="restart"/>
                  <w:vAlign w:val="center"/>
                </w:tcPr>
                <w:p>
                  <w:pPr>
                    <w:pStyle w:val="89"/>
                    <w:rPr>
                      <w:rFonts w:cs="Times New Roman"/>
                    </w:rPr>
                  </w:pPr>
                  <w:r>
                    <w:rPr>
                      <w:rFonts w:cs="Times New Roman"/>
                    </w:rPr>
                    <w:t>相对</w:t>
                  </w:r>
                  <w:r>
                    <w:rPr>
                      <w:rFonts w:hint="eastAsia" w:cs="Times New Roman"/>
                    </w:rPr>
                    <w:t>保德首站</w:t>
                  </w:r>
                </w:p>
              </w:tc>
              <w:tc>
                <w:tcPr>
                  <w:tcW w:w="2756" w:type="dxa"/>
                  <w:gridSpan w:val="3"/>
                  <w:vMerge w:val="restart"/>
                  <w:vAlign w:val="center"/>
                </w:tcPr>
                <w:p>
                  <w:pPr>
                    <w:pStyle w:val="89"/>
                    <w:rPr>
                      <w:rFonts w:cs="Times New Roman"/>
                      <w:color w:val="FF0000"/>
                    </w:rPr>
                  </w:pPr>
                  <w:r>
                    <w:rPr>
                      <w:rFonts w:cs="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rPr>
                  </w:pPr>
                </w:p>
              </w:tc>
              <w:tc>
                <w:tcPr>
                  <w:tcW w:w="847" w:type="dxa"/>
                  <w:vMerge w:val="continue"/>
                  <w:vAlign w:val="center"/>
                </w:tcPr>
                <w:p>
                  <w:pPr>
                    <w:pStyle w:val="89"/>
                    <w:rPr>
                      <w:rFonts w:cs="Times New Roman"/>
                    </w:rPr>
                  </w:pPr>
                </w:p>
              </w:tc>
              <w:tc>
                <w:tcPr>
                  <w:tcW w:w="1298" w:type="dxa"/>
                  <w:vAlign w:val="center"/>
                </w:tcPr>
                <w:p>
                  <w:pPr>
                    <w:pStyle w:val="89"/>
                    <w:rPr>
                      <w:rFonts w:cs="Times New Roman"/>
                    </w:rPr>
                  </w:pPr>
                  <w:r>
                    <w:rPr>
                      <w:rFonts w:hint="eastAsia" w:cs="Times New Roman"/>
                    </w:rPr>
                    <w:t>山头村</w:t>
                  </w:r>
                </w:p>
              </w:tc>
              <w:tc>
                <w:tcPr>
                  <w:tcW w:w="748" w:type="dxa"/>
                  <w:vAlign w:val="center"/>
                </w:tcPr>
                <w:p>
                  <w:pPr>
                    <w:pStyle w:val="89"/>
                    <w:rPr>
                      <w:rFonts w:cs="Times New Roman"/>
                    </w:rPr>
                  </w:pPr>
                  <w:r>
                    <w:rPr>
                      <w:rFonts w:cs="Times New Roman"/>
                    </w:rPr>
                    <w:t>SE</w:t>
                  </w:r>
                </w:p>
              </w:tc>
              <w:tc>
                <w:tcPr>
                  <w:tcW w:w="898" w:type="dxa"/>
                  <w:vAlign w:val="center"/>
                </w:tcPr>
                <w:p>
                  <w:pPr>
                    <w:pStyle w:val="89"/>
                    <w:rPr>
                      <w:rFonts w:cs="Times New Roman"/>
                    </w:rPr>
                  </w:pPr>
                  <w:r>
                    <w:rPr>
                      <w:rFonts w:hint="eastAsia" w:cs="Times New Roman"/>
                    </w:rPr>
                    <w:t>4</w:t>
                  </w:r>
                  <w:r>
                    <w:rPr>
                      <w:rFonts w:cs="Times New Roman"/>
                    </w:rPr>
                    <w:t>00</w:t>
                  </w:r>
                </w:p>
              </w:tc>
              <w:tc>
                <w:tcPr>
                  <w:tcW w:w="1410" w:type="dxa"/>
                  <w:vMerge w:val="continue"/>
                  <w:vAlign w:val="center"/>
                </w:tcPr>
                <w:p>
                  <w:pPr>
                    <w:pStyle w:val="89"/>
                    <w:rPr>
                      <w:rFonts w:cs="Times New Roman"/>
                      <w:color w:val="FF0000"/>
                    </w:rPr>
                  </w:pPr>
                </w:p>
              </w:tc>
              <w:tc>
                <w:tcPr>
                  <w:tcW w:w="2756" w:type="dxa"/>
                  <w:gridSpan w:val="3"/>
                  <w:vMerge w:val="continue"/>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restart"/>
                  <w:vAlign w:val="center"/>
                </w:tcPr>
                <w:p>
                  <w:pPr>
                    <w:pStyle w:val="89"/>
                    <w:rPr>
                      <w:rFonts w:cs="Times New Roman"/>
                    </w:rPr>
                  </w:pPr>
                  <w:r>
                    <w:rPr>
                      <w:rFonts w:cs="Times New Roman"/>
                    </w:rPr>
                    <w:t>其他</w:t>
                  </w:r>
                </w:p>
              </w:tc>
              <w:tc>
                <w:tcPr>
                  <w:tcW w:w="847" w:type="dxa"/>
                  <w:vMerge w:val="restart"/>
                  <w:vAlign w:val="center"/>
                </w:tcPr>
                <w:p>
                  <w:pPr>
                    <w:pStyle w:val="89"/>
                    <w:rPr>
                      <w:rFonts w:cs="Times New Roman"/>
                    </w:rPr>
                  </w:pPr>
                  <w:r>
                    <w:rPr>
                      <w:rFonts w:cs="Times New Roman"/>
                    </w:rPr>
                    <w:t>施工期</w:t>
                  </w:r>
                </w:p>
              </w:tc>
              <w:tc>
                <w:tcPr>
                  <w:tcW w:w="1298" w:type="dxa"/>
                  <w:vAlign w:val="center"/>
                </w:tcPr>
                <w:p>
                  <w:pPr>
                    <w:pStyle w:val="89"/>
                    <w:rPr>
                      <w:rFonts w:cs="Times New Roman"/>
                    </w:rPr>
                  </w:pPr>
                  <w:r>
                    <w:rPr>
                      <w:rFonts w:hint="eastAsia" w:cs="Times New Roman"/>
                    </w:rPr>
                    <w:t>五保高速匝道穿越</w:t>
                  </w:r>
                </w:p>
              </w:tc>
              <w:tc>
                <w:tcPr>
                  <w:tcW w:w="1646" w:type="dxa"/>
                  <w:gridSpan w:val="2"/>
                  <w:vAlign w:val="center"/>
                </w:tcPr>
                <w:p>
                  <w:pPr>
                    <w:pStyle w:val="89"/>
                    <w:rPr>
                      <w:rFonts w:cs="Times New Roman"/>
                    </w:rPr>
                  </w:pPr>
                  <w:r>
                    <w:rPr>
                      <w:rFonts w:hint="eastAsia" w:cs="Times New Roman"/>
                    </w:rPr>
                    <w:t>-</w:t>
                  </w:r>
                </w:p>
              </w:tc>
              <w:tc>
                <w:tcPr>
                  <w:tcW w:w="1410" w:type="dxa"/>
                  <w:vAlign w:val="center"/>
                </w:tcPr>
                <w:p>
                  <w:pPr>
                    <w:pStyle w:val="89"/>
                    <w:rPr>
                      <w:rFonts w:cs="Times New Roman"/>
                    </w:rPr>
                  </w:pPr>
                  <w:r>
                    <w:rPr>
                      <w:rFonts w:hint="eastAsia" w:cs="Times New Roman"/>
                    </w:rPr>
                    <w:t>2</w:t>
                  </w:r>
                  <w:r>
                    <w:rPr>
                      <w:rFonts w:cs="Times New Roman"/>
                    </w:rPr>
                    <w:t>次</w:t>
                  </w:r>
                </w:p>
              </w:tc>
              <w:tc>
                <w:tcPr>
                  <w:tcW w:w="2756" w:type="dxa"/>
                  <w:gridSpan w:val="3"/>
                  <w:vAlign w:val="center"/>
                </w:tcPr>
                <w:p>
                  <w:pPr>
                    <w:pStyle w:val="89"/>
                    <w:rPr>
                      <w:rFonts w:cs="Times New Roman"/>
                    </w:rPr>
                  </w:pPr>
                  <w:r>
                    <w:rPr>
                      <w:rFonts w:hint="eastAsia" w:cs="Times New Roman"/>
                    </w:rPr>
                    <w:t>位置发生变化，穿越五保高速匝道</w:t>
                  </w:r>
                  <w:r>
                    <w:rPr>
                      <w:rFonts w:hint="eastAsia" w:cs="Times New Roman"/>
                      <w:lang w:val="en-US" w:eastAsia="zh-CN"/>
                    </w:rPr>
                    <w:t>2</w:t>
                  </w:r>
                  <w:r>
                    <w:rPr>
                      <w:rFonts w:hint="eastAsia" w:cs="Times New Roma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color w:val="FF0000"/>
                    </w:rPr>
                  </w:pPr>
                </w:p>
              </w:tc>
              <w:tc>
                <w:tcPr>
                  <w:tcW w:w="847" w:type="dxa"/>
                  <w:vMerge w:val="continue"/>
                  <w:vAlign w:val="center"/>
                </w:tcPr>
                <w:p>
                  <w:pPr>
                    <w:pStyle w:val="89"/>
                    <w:rPr>
                      <w:rFonts w:cs="Times New Roman"/>
                      <w:color w:val="FF0000"/>
                    </w:rPr>
                  </w:pPr>
                </w:p>
              </w:tc>
              <w:tc>
                <w:tcPr>
                  <w:tcW w:w="1298" w:type="dxa"/>
                  <w:vAlign w:val="center"/>
                </w:tcPr>
                <w:p>
                  <w:pPr>
                    <w:pStyle w:val="89"/>
                    <w:rPr>
                      <w:rFonts w:cs="Times New Roman"/>
                    </w:rPr>
                  </w:pPr>
                  <w:r>
                    <w:rPr>
                      <w:rFonts w:hint="eastAsia" w:cs="Times New Roman"/>
                    </w:rPr>
                    <w:t>大型冲沟</w:t>
                  </w:r>
                  <w:r>
                    <w:rPr>
                      <w:rFonts w:cs="Times New Roman"/>
                    </w:rPr>
                    <w:t>穿越</w:t>
                  </w:r>
                </w:p>
              </w:tc>
              <w:tc>
                <w:tcPr>
                  <w:tcW w:w="1646" w:type="dxa"/>
                  <w:gridSpan w:val="2"/>
                  <w:vAlign w:val="center"/>
                </w:tcPr>
                <w:p>
                  <w:pPr>
                    <w:pStyle w:val="89"/>
                    <w:rPr>
                      <w:rFonts w:cs="Times New Roman"/>
                    </w:rPr>
                  </w:pPr>
                  <w:r>
                    <w:rPr>
                      <w:rFonts w:hint="eastAsia" w:cs="Times New Roman"/>
                    </w:rPr>
                    <w:t>-</w:t>
                  </w:r>
                </w:p>
              </w:tc>
              <w:tc>
                <w:tcPr>
                  <w:tcW w:w="1410" w:type="dxa"/>
                  <w:vAlign w:val="center"/>
                </w:tcPr>
                <w:p>
                  <w:pPr>
                    <w:pStyle w:val="89"/>
                    <w:rPr>
                      <w:rFonts w:cs="Times New Roman"/>
                    </w:rPr>
                  </w:pPr>
                  <w:r>
                    <w:rPr>
                      <w:rFonts w:hint="eastAsia" w:cs="Times New Roman"/>
                    </w:rPr>
                    <w:t>1</w:t>
                  </w:r>
                  <w:r>
                    <w:rPr>
                      <w:rFonts w:cs="Times New Roman"/>
                    </w:rPr>
                    <w:t>次</w:t>
                  </w:r>
                </w:p>
              </w:tc>
              <w:tc>
                <w:tcPr>
                  <w:tcW w:w="2756" w:type="dxa"/>
                  <w:gridSpan w:val="3"/>
                  <w:vAlign w:val="center"/>
                </w:tcPr>
                <w:p>
                  <w:pPr>
                    <w:pStyle w:val="89"/>
                    <w:rPr>
                      <w:rFonts w:cs="Times New Roman"/>
                    </w:rPr>
                  </w:pPr>
                  <w:r>
                    <w:rPr>
                      <w:rFonts w:cs="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color w:val="FF0000"/>
                    </w:rPr>
                  </w:pPr>
                </w:p>
              </w:tc>
              <w:tc>
                <w:tcPr>
                  <w:tcW w:w="847" w:type="dxa"/>
                  <w:vMerge w:val="continue"/>
                  <w:vAlign w:val="center"/>
                </w:tcPr>
                <w:p>
                  <w:pPr>
                    <w:pStyle w:val="89"/>
                    <w:rPr>
                      <w:rFonts w:cs="Times New Roman"/>
                      <w:color w:val="FF0000"/>
                    </w:rPr>
                  </w:pPr>
                </w:p>
              </w:tc>
              <w:tc>
                <w:tcPr>
                  <w:tcW w:w="1298" w:type="dxa"/>
                  <w:vAlign w:val="center"/>
                </w:tcPr>
                <w:p>
                  <w:pPr>
                    <w:pStyle w:val="89"/>
                    <w:rPr>
                      <w:rFonts w:cs="Times New Roman"/>
                    </w:rPr>
                  </w:pPr>
                  <w:r>
                    <w:rPr>
                      <w:rFonts w:hint="eastAsia" w:cs="Times New Roman"/>
                    </w:rPr>
                    <w:t>小型冲沟穿越</w:t>
                  </w:r>
                </w:p>
              </w:tc>
              <w:tc>
                <w:tcPr>
                  <w:tcW w:w="1646" w:type="dxa"/>
                  <w:gridSpan w:val="2"/>
                  <w:vAlign w:val="center"/>
                </w:tcPr>
                <w:p>
                  <w:pPr>
                    <w:pStyle w:val="89"/>
                    <w:rPr>
                      <w:rFonts w:cs="Times New Roman"/>
                    </w:rPr>
                  </w:pPr>
                  <w:r>
                    <w:rPr>
                      <w:rFonts w:hint="eastAsia" w:cs="Times New Roman"/>
                    </w:rPr>
                    <w:t>-</w:t>
                  </w:r>
                </w:p>
              </w:tc>
              <w:tc>
                <w:tcPr>
                  <w:tcW w:w="1410" w:type="dxa"/>
                  <w:vAlign w:val="center"/>
                </w:tcPr>
                <w:p>
                  <w:pPr>
                    <w:pStyle w:val="89"/>
                    <w:rPr>
                      <w:rFonts w:cs="Times New Roman"/>
                    </w:rPr>
                  </w:pPr>
                  <w:r>
                    <w:rPr>
                      <w:rFonts w:hint="eastAsia" w:cs="Times New Roman"/>
                    </w:rPr>
                    <w:t>3</w:t>
                  </w:r>
                  <w:r>
                    <w:rPr>
                      <w:rFonts w:cs="Times New Roman"/>
                    </w:rPr>
                    <w:t>次</w:t>
                  </w:r>
                </w:p>
              </w:tc>
              <w:tc>
                <w:tcPr>
                  <w:tcW w:w="2756" w:type="dxa"/>
                  <w:gridSpan w:val="3"/>
                  <w:vAlign w:val="center"/>
                </w:tcPr>
                <w:p>
                  <w:pPr>
                    <w:pStyle w:val="89"/>
                    <w:rPr>
                      <w:rFonts w:cs="Times New Roman"/>
                    </w:rPr>
                  </w:pPr>
                  <w:r>
                    <w:rPr>
                      <w:rFonts w:hint="eastAsia" w:cs="Times New Roman"/>
                    </w:rPr>
                    <w:t>5</w:t>
                  </w:r>
                  <w:r>
                    <w:rPr>
                      <w:rFonts w:cs="Times New Roma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color w:val="FF0000"/>
                    </w:rPr>
                  </w:pPr>
                </w:p>
              </w:tc>
              <w:tc>
                <w:tcPr>
                  <w:tcW w:w="847" w:type="dxa"/>
                  <w:vMerge w:val="continue"/>
                  <w:vAlign w:val="center"/>
                </w:tcPr>
                <w:p>
                  <w:pPr>
                    <w:pStyle w:val="89"/>
                    <w:rPr>
                      <w:rFonts w:cs="Times New Roman"/>
                      <w:color w:val="FF0000"/>
                    </w:rPr>
                  </w:pPr>
                </w:p>
              </w:tc>
              <w:tc>
                <w:tcPr>
                  <w:tcW w:w="1298" w:type="dxa"/>
                  <w:vAlign w:val="center"/>
                </w:tcPr>
                <w:p>
                  <w:pPr>
                    <w:pStyle w:val="89"/>
                    <w:rPr>
                      <w:rFonts w:cs="Times New Roman"/>
                    </w:rPr>
                  </w:pPr>
                  <w:r>
                    <w:rPr>
                      <w:rFonts w:hint="eastAsia" w:cs="Times New Roman"/>
                    </w:rPr>
                    <w:t>耕地</w:t>
                  </w:r>
                </w:p>
              </w:tc>
              <w:tc>
                <w:tcPr>
                  <w:tcW w:w="3056" w:type="dxa"/>
                  <w:gridSpan w:val="3"/>
                  <w:vAlign w:val="center"/>
                </w:tcPr>
                <w:p>
                  <w:pPr>
                    <w:jc w:val="center"/>
                  </w:pPr>
                  <w:r>
                    <w:rPr>
                      <w:rFonts w:hint="eastAsia"/>
                    </w:rPr>
                    <w:t>及时恢复农业耕作，可恢复原来的土地利用性质</w:t>
                  </w:r>
                </w:p>
              </w:tc>
              <w:tc>
                <w:tcPr>
                  <w:tcW w:w="2756" w:type="dxa"/>
                  <w:gridSpan w:val="3"/>
                  <w:vMerge w:val="restart"/>
                  <w:vAlign w:val="center"/>
                </w:tcPr>
                <w:p>
                  <w:pPr>
                    <w:pStyle w:val="89"/>
                    <w:rPr>
                      <w:rFonts w:cs="Times New Roman"/>
                    </w:rPr>
                  </w:pPr>
                  <w:r>
                    <w:rPr>
                      <w:rFonts w:cs="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color w:val="FF0000"/>
                    </w:rPr>
                  </w:pPr>
                </w:p>
              </w:tc>
              <w:tc>
                <w:tcPr>
                  <w:tcW w:w="847" w:type="dxa"/>
                  <w:vMerge w:val="continue"/>
                  <w:vAlign w:val="center"/>
                </w:tcPr>
                <w:p>
                  <w:pPr>
                    <w:pStyle w:val="89"/>
                    <w:rPr>
                      <w:rFonts w:cs="Times New Roman"/>
                      <w:color w:val="FF0000"/>
                    </w:rPr>
                  </w:pPr>
                </w:p>
              </w:tc>
              <w:tc>
                <w:tcPr>
                  <w:tcW w:w="1298" w:type="dxa"/>
                  <w:vAlign w:val="center"/>
                </w:tcPr>
                <w:p>
                  <w:pPr>
                    <w:pStyle w:val="89"/>
                    <w:rPr>
                      <w:rFonts w:cs="Times New Roman"/>
                    </w:rPr>
                  </w:pPr>
                  <w:r>
                    <w:rPr>
                      <w:rFonts w:hint="eastAsia" w:cs="Times New Roman"/>
                    </w:rPr>
                    <w:t>林地</w:t>
                  </w:r>
                </w:p>
              </w:tc>
              <w:tc>
                <w:tcPr>
                  <w:tcW w:w="3056" w:type="dxa"/>
                  <w:gridSpan w:val="3"/>
                  <w:vAlign w:val="center"/>
                </w:tcPr>
                <w:p>
                  <w:pPr>
                    <w:jc w:val="center"/>
                  </w:pPr>
                  <w:r>
                    <w:t>施工完毕后管道中心线两侧5m范围内林地因禁止种植深根系植物，恢复为灌丛，中心线两侧5m范围外植树，树种为施工时破坏的树种</w:t>
                  </w:r>
                </w:p>
              </w:tc>
              <w:tc>
                <w:tcPr>
                  <w:tcW w:w="2756" w:type="dxa"/>
                  <w:gridSpan w:val="3"/>
                  <w:vMerge w:val="continue"/>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7" w:type="dxa"/>
                  <w:vMerge w:val="continue"/>
                  <w:vAlign w:val="center"/>
                </w:tcPr>
                <w:p>
                  <w:pPr>
                    <w:pStyle w:val="89"/>
                    <w:rPr>
                      <w:rFonts w:cs="Times New Roman"/>
                      <w:color w:val="FF0000"/>
                    </w:rPr>
                  </w:pPr>
                </w:p>
              </w:tc>
              <w:tc>
                <w:tcPr>
                  <w:tcW w:w="847" w:type="dxa"/>
                  <w:vMerge w:val="continue"/>
                  <w:vAlign w:val="center"/>
                </w:tcPr>
                <w:p>
                  <w:pPr>
                    <w:pStyle w:val="89"/>
                    <w:rPr>
                      <w:rFonts w:cs="Times New Roman"/>
                      <w:color w:val="FF0000"/>
                    </w:rPr>
                  </w:pPr>
                </w:p>
              </w:tc>
              <w:tc>
                <w:tcPr>
                  <w:tcW w:w="1298" w:type="dxa"/>
                  <w:vAlign w:val="center"/>
                </w:tcPr>
                <w:p>
                  <w:pPr>
                    <w:pStyle w:val="89"/>
                    <w:rPr>
                      <w:rFonts w:cs="Times New Roman"/>
                    </w:rPr>
                  </w:pPr>
                  <w:r>
                    <w:rPr>
                      <w:rFonts w:hint="eastAsia" w:cs="Times New Roman"/>
                    </w:rPr>
                    <w:t>草地</w:t>
                  </w:r>
                </w:p>
              </w:tc>
              <w:tc>
                <w:tcPr>
                  <w:tcW w:w="3056" w:type="dxa"/>
                  <w:gridSpan w:val="3"/>
                  <w:vAlign w:val="center"/>
                </w:tcPr>
                <w:p>
                  <w:pPr>
                    <w:jc w:val="center"/>
                  </w:pPr>
                  <w:r>
                    <w:t>在施工完毕后及时进行绿化，采取当地物种，恢复地表植被为灌木和低矮草丛</w:t>
                  </w:r>
                </w:p>
              </w:tc>
              <w:tc>
                <w:tcPr>
                  <w:tcW w:w="2756" w:type="dxa"/>
                  <w:gridSpan w:val="3"/>
                  <w:vMerge w:val="continue"/>
                  <w:vAlign w:val="center"/>
                </w:tcPr>
                <w:p>
                  <w:pPr>
                    <w:pStyle w:val="89"/>
                    <w:rPr>
                      <w:rFonts w:cs="Times New Roman"/>
                      <w:color w:val="FF0000"/>
                    </w:rPr>
                  </w:pPr>
                </w:p>
              </w:tc>
            </w:tr>
          </w:tbl>
          <w:p>
            <w:pPr>
              <w:pStyle w:val="86"/>
              <w:ind w:firstLine="480"/>
              <w:rPr>
                <w:rFonts w:cs="Times New Roman"/>
              </w:rPr>
            </w:pPr>
            <w:r>
              <w:rPr>
                <w:rFonts w:cs="Times New Roman"/>
              </w:rPr>
              <w:t>施工期采取措施尽量减少施工对沿线保护目标的影响。</w:t>
            </w:r>
          </w:p>
          <w:p>
            <w:pPr>
              <w:pStyle w:val="86"/>
              <w:ind w:firstLine="480"/>
              <w:rPr>
                <w:rFonts w:cs="Times New Roman"/>
              </w:rPr>
            </w:pPr>
            <w:r>
              <w:rPr>
                <w:rFonts w:cs="Times New Roman"/>
              </w:rPr>
              <w:t>运营期保护级别为：</w:t>
            </w:r>
          </w:p>
          <w:p>
            <w:pPr>
              <w:pStyle w:val="86"/>
              <w:ind w:firstLine="480"/>
              <w:rPr>
                <w:rFonts w:cs="Times New Roman"/>
              </w:rPr>
            </w:pPr>
            <w:r>
              <w:rPr>
                <w:rFonts w:cs="Times New Roman"/>
              </w:rPr>
              <w:t>（1）</w:t>
            </w:r>
            <w:r>
              <w:rPr>
                <w:rFonts w:hint="eastAsia" w:cs="Times New Roman"/>
              </w:rPr>
              <w:t>环境空气：</w:t>
            </w:r>
            <w:r>
              <w:rPr>
                <w:rFonts w:cs="Times New Roman"/>
              </w:rPr>
              <w:t>环境空气质量执行《环境空气质量标准》（GB3095-2012）</w:t>
            </w:r>
            <w:r>
              <w:rPr>
                <w:rFonts w:hint="eastAsia" w:cs="Times New Roman"/>
                <w:lang w:val="en-US" w:eastAsia="zh-CN"/>
              </w:rPr>
              <w:t>及修改单</w:t>
            </w:r>
            <w:r>
              <w:rPr>
                <w:rFonts w:cs="Times New Roman"/>
              </w:rPr>
              <w:t>二级标准</w:t>
            </w:r>
            <w:r>
              <w:rPr>
                <w:rFonts w:hint="eastAsia" w:cs="Times New Roman"/>
              </w:rPr>
              <w:t>。</w:t>
            </w:r>
          </w:p>
          <w:p>
            <w:pPr>
              <w:pStyle w:val="86"/>
              <w:ind w:firstLine="480"/>
              <w:rPr>
                <w:rFonts w:cs="Times New Roman"/>
              </w:rPr>
            </w:pPr>
            <w:r>
              <w:rPr>
                <w:rFonts w:cs="Times New Roman"/>
              </w:rPr>
              <w:t>（2）</w:t>
            </w:r>
            <w:r>
              <w:rPr>
                <w:rFonts w:hint="eastAsia" w:cs="Times New Roman"/>
              </w:rPr>
              <w:t>声环境：</w:t>
            </w:r>
            <w:r>
              <w:rPr>
                <w:rFonts w:cs="Times New Roman"/>
              </w:rPr>
              <w:t>声环境执行《声环境质量标准》（GB3096-2008）</w:t>
            </w:r>
            <w:r>
              <w:rPr>
                <w:rFonts w:hint="eastAsia" w:cs="Times New Roman"/>
              </w:rPr>
              <w:t>2</w:t>
            </w:r>
            <w:r>
              <w:rPr>
                <w:rFonts w:cs="Times New Roman"/>
              </w:rPr>
              <w:t>类</w:t>
            </w:r>
            <w:r>
              <w:rPr>
                <w:rFonts w:hint="eastAsia" w:cs="Times New Roman"/>
              </w:rPr>
              <w:t>区</w:t>
            </w:r>
            <w:r>
              <w:rPr>
                <w:rFonts w:cs="Times New Roman"/>
              </w:rPr>
              <w:t>标准；</w:t>
            </w:r>
          </w:p>
          <w:p>
            <w:pPr>
              <w:pStyle w:val="86"/>
              <w:ind w:firstLine="480"/>
              <w:rPr>
                <w:rFonts w:cs="Times New Roman"/>
              </w:rPr>
            </w:pPr>
            <w:r>
              <w:rPr>
                <w:rFonts w:cs="Times New Roman"/>
              </w:rPr>
              <w:t>（3）</w:t>
            </w:r>
            <w:r>
              <w:rPr>
                <w:rFonts w:hint="eastAsia" w:cs="Times New Roman"/>
              </w:rPr>
              <w:t>地表水：</w:t>
            </w:r>
            <w:r>
              <w:t>项目区附近涉及地表水体主要为朱家川河、黄河，根据《山西省地表水环境功能区划》（DB14/67-2014），项目属于黄河干流（西北部）黄河偏关-吴堡区源头至入黄河口段，属于农业用水保护，按《地表水环境质量标准》（GB3838-2002）中《地表水环境质量标准》</w:t>
            </w:r>
            <w:r>
              <w:rPr>
                <w:rFonts w:hint="eastAsia" w:ascii="宋体" w:hAnsi="宋体"/>
              </w:rPr>
              <w:t>Ⅴ</w:t>
            </w:r>
            <w:r>
              <w:t>类标准执行</w:t>
            </w:r>
            <w:r>
              <w:rPr>
                <w:rFonts w:cs="Times New Roman"/>
              </w:rPr>
              <w:t>。</w:t>
            </w:r>
          </w:p>
          <w:p>
            <w:pPr>
              <w:pStyle w:val="86"/>
              <w:ind w:firstLine="480"/>
              <w:rPr>
                <w:rFonts w:cs="Times New Roman"/>
                <w:color w:val="FF0000"/>
              </w:rPr>
            </w:pPr>
            <w:r>
              <w:rPr>
                <w:rFonts w:cs="Times New Roman"/>
              </w:rPr>
              <w:t>（4）</w:t>
            </w:r>
            <w:r>
              <w:rPr>
                <w:rFonts w:hint="eastAsia" w:cs="Times New Roman"/>
              </w:rPr>
              <w:t>地下水：根据环评批复标准，地下水执行《地下水质量标准》（GB/T14843-93）Ⅲ类标准, 此次验收以《地下水质量标准》（GB/T14843-2017）Ⅲ类标准作为校核标准</w:t>
            </w:r>
            <w:r>
              <w:rPr>
                <w:rFonts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spacing w:line="360" w:lineRule="exact"/>
              <w:rPr>
                <w:sz w:val="24"/>
              </w:rPr>
            </w:pPr>
            <w:r>
              <w:rPr>
                <w:sz w:val="24"/>
              </w:rPr>
              <w:t>调查</w:t>
            </w:r>
          </w:p>
          <w:p>
            <w:pPr>
              <w:spacing w:line="360" w:lineRule="exact"/>
              <w:rPr>
                <w:sz w:val="24"/>
              </w:rPr>
            </w:pPr>
            <w:r>
              <w:rPr>
                <w:sz w:val="24"/>
              </w:rPr>
              <w:t>重点</w:t>
            </w:r>
          </w:p>
        </w:tc>
        <w:tc>
          <w:tcPr>
            <w:tcW w:w="8710" w:type="dxa"/>
          </w:tcPr>
          <w:p>
            <w:pPr>
              <w:pStyle w:val="86"/>
              <w:ind w:firstLine="480"/>
            </w:pPr>
            <w:r>
              <w:rPr>
                <w:rFonts w:hint="eastAsia"/>
              </w:rPr>
              <w:t>一</w:t>
            </w:r>
            <w:r>
              <w:t>、</w:t>
            </w:r>
            <w:r>
              <w:rPr>
                <w:rFonts w:hint="eastAsia"/>
              </w:rPr>
              <w:t>工程建设情况</w:t>
            </w:r>
          </w:p>
          <w:p>
            <w:pPr>
              <w:pStyle w:val="86"/>
              <w:ind w:firstLine="480"/>
            </w:pPr>
            <w:r>
              <w:t>1、</w:t>
            </w:r>
            <w:r>
              <w:rPr>
                <w:rFonts w:hint="eastAsia"/>
              </w:rPr>
              <w:t>核查管道项目的建设性质、建设内容、建设规模、建设位置等。</w:t>
            </w:r>
          </w:p>
          <w:p>
            <w:pPr>
              <w:pStyle w:val="86"/>
              <w:ind w:firstLine="480"/>
            </w:pPr>
            <w:r>
              <w:t>2、</w:t>
            </w:r>
            <w:r>
              <w:rPr>
                <w:rFonts w:hint="eastAsia"/>
              </w:rPr>
              <w:t>核查管道及管道配套设施建设情况。</w:t>
            </w:r>
          </w:p>
          <w:p>
            <w:pPr>
              <w:pStyle w:val="86"/>
              <w:ind w:firstLine="480"/>
            </w:pPr>
            <w:r>
              <w:t>3、</w:t>
            </w:r>
            <w:r>
              <w:rPr>
                <w:rFonts w:hint="eastAsia"/>
              </w:rPr>
              <w:t>管道敷设及穿越建设方案。</w:t>
            </w:r>
          </w:p>
          <w:p>
            <w:pPr>
              <w:pStyle w:val="86"/>
              <w:ind w:firstLine="480"/>
            </w:pPr>
            <w:r>
              <w:t>4、</w:t>
            </w:r>
            <w:r>
              <w:rPr>
                <w:rFonts w:hint="eastAsia"/>
              </w:rPr>
              <w:t>输送介质及运行参数。</w:t>
            </w:r>
          </w:p>
          <w:p>
            <w:pPr>
              <w:pStyle w:val="86"/>
              <w:ind w:firstLine="480"/>
            </w:pPr>
            <w:r>
              <w:t>5、</w:t>
            </w:r>
            <w:r>
              <w:rPr>
                <w:rFonts w:hint="eastAsia"/>
              </w:rPr>
              <w:t>环境敏感目标变化情况。</w:t>
            </w:r>
          </w:p>
          <w:p>
            <w:pPr>
              <w:pStyle w:val="86"/>
              <w:ind w:firstLine="480"/>
            </w:pPr>
            <w:r>
              <w:rPr>
                <w:rFonts w:hint="eastAsia"/>
              </w:rPr>
              <w:t>二</w:t>
            </w:r>
            <w:r>
              <w:t>、</w:t>
            </w:r>
            <w:r>
              <w:rPr>
                <w:rFonts w:hint="eastAsia"/>
              </w:rPr>
              <w:t>环境保护措施落实情况</w:t>
            </w:r>
          </w:p>
          <w:p>
            <w:pPr>
              <w:pStyle w:val="86"/>
              <w:ind w:firstLine="480"/>
            </w:pPr>
            <w:r>
              <w:rPr>
                <w:rFonts w:hint="eastAsia"/>
              </w:rPr>
              <w:t>1、检查场站、阀室等永久征地情况；核查管道敷设施工方式、土壤保护措施、生态保护要求落实情况；施工结束后土地平整和植被恢复情况。特殊环境敏感区的生态保护与补偿。</w:t>
            </w:r>
          </w:p>
          <w:p>
            <w:pPr>
              <w:pStyle w:val="86"/>
              <w:ind w:firstLine="480"/>
            </w:pPr>
            <w:r>
              <w:t>2</w:t>
            </w:r>
            <w:r>
              <w:rPr>
                <w:rFonts w:hint="eastAsia"/>
              </w:rPr>
              <w:t>、重要河流等水体穿越的施工管理情况；场站生产、生活等各类废水的治理措施落实情况。</w:t>
            </w:r>
          </w:p>
          <w:p>
            <w:pPr>
              <w:pStyle w:val="86"/>
              <w:ind w:firstLine="480"/>
            </w:pPr>
            <w:r>
              <w:t>3</w:t>
            </w:r>
            <w:r>
              <w:rPr>
                <w:rFonts w:hint="eastAsia"/>
              </w:rPr>
              <w:t>、管道敷设弃土弃渣、生活垃圾等固体废物处置情况。清管废渣等固体废物的储存、处置情况。</w:t>
            </w:r>
          </w:p>
          <w:p>
            <w:pPr>
              <w:pStyle w:val="86"/>
              <w:ind w:firstLine="480"/>
            </w:pPr>
            <w:r>
              <w:t>4</w:t>
            </w:r>
            <w:r>
              <w:rPr>
                <w:rFonts w:hint="eastAsia"/>
              </w:rPr>
              <w:t>、检查储运设施等无组织排放源治理措施落实情况；场站工艺设备的降噪措施落实情况，场界噪声排放情况。</w:t>
            </w:r>
          </w:p>
          <w:p>
            <w:pPr>
              <w:pStyle w:val="86"/>
              <w:ind w:firstLine="480"/>
            </w:pPr>
            <w:r>
              <w:t>5</w:t>
            </w:r>
            <w:r>
              <w:rPr>
                <w:rFonts w:hint="eastAsia"/>
              </w:rPr>
              <w:t>、检查管道及管道附属设施环境风险防范措施落实情况；检查环境风险应急管理措施落实情况。</w:t>
            </w: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ind w:firstLine="210"/>
              <w:rPr>
                <w:color w:val="FF0000"/>
                <w:sz w:val="24"/>
              </w:rPr>
            </w:pPr>
          </w:p>
          <w:p>
            <w:pPr>
              <w:spacing w:line="460" w:lineRule="exact"/>
              <w:rPr>
                <w:color w:val="FF0000"/>
                <w:sz w:val="24"/>
              </w:rPr>
            </w:pPr>
          </w:p>
        </w:tc>
      </w:tr>
    </w:tbl>
    <w:p>
      <w:pPr>
        <w:sectPr>
          <w:footerReference r:id="rId5" w:type="default"/>
          <w:pgSz w:w="11907" w:h="16840"/>
          <w:pgMar w:top="1418" w:right="1418" w:bottom="1418" w:left="1418" w:header="851" w:footer="964" w:gutter="0"/>
          <w:pgNumType w:start="1"/>
          <w:cols w:space="425" w:num="1"/>
          <w:docGrid w:type="linesAndChars" w:linePitch="312" w:charSpace="0"/>
        </w:sectPr>
      </w:pPr>
      <w:bookmarkStart w:id="21" w:name="_Toc100123153"/>
      <w:bookmarkStart w:id="22" w:name="_Toc102119092"/>
      <w:bookmarkStart w:id="23" w:name="_Toc100122853"/>
      <w:bookmarkStart w:id="24" w:name="_Toc102120470"/>
      <w:bookmarkStart w:id="25" w:name="_Toc100119399"/>
      <w:bookmarkStart w:id="26" w:name="_Toc102120187"/>
      <w:bookmarkStart w:id="27" w:name="_Toc100123053"/>
    </w:p>
    <w:p>
      <w:pPr>
        <w:pStyle w:val="4"/>
        <w:spacing w:beforeLines="0" w:afterLines="0" w:line="460" w:lineRule="exact"/>
        <w:jc w:val="left"/>
        <w:rPr>
          <w:rFonts w:ascii="Times New Roman"/>
          <w:sz w:val="30"/>
        </w:rPr>
      </w:pPr>
      <w:bookmarkStart w:id="28" w:name="_Toc443915683"/>
      <w:bookmarkStart w:id="29" w:name="_Toc297795029"/>
      <w:bookmarkStart w:id="30" w:name="_Toc328647952"/>
      <w:r>
        <w:rPr>
          <w:rFonts w:ascii="Times New Roman"/>
          <w:sz w:val="30"/>
        </w:rPr>
        <w:t>表3  验收执行标准</w:t>
      </w:r>
      <w:bookmarkEnd w:id="21"/>
      <w:bookmarkEnd w:id="22"/>
      <w:bookmarkEnd w:id="23"/>
      <w:bookmarkEnd w:id="24"/>
      <w:bookmarkEnd w:id="25"/>
      <w:bookmarkEnd w:id="26"/>
      <w:bookmarkEnd w:id="27"/>
      <w:bookmarkEnd w:id="28"/>
      <w:bookmarkEnd w:id="29"/>
      <w:bookmarkEnd w:id="30"/>
    </w:p>
    <w:tbl>
      <w:tblPr>
        <w:tblStyle w:val="32"/>
        <w:tblW w:w="9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8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7" w:hRule="atLeast"/>
        </w:trPr>
        <w:tc>
          <w:tcPr>
            <w:tcW w:w="522" w:type="dxa"/>
            <w:vAlign w:val="center"/>
          </w:tcPr>
          <w:p>
            <w:pPr>
              <w:pStyle w:val="38"/>
              <w:keepNext w:val="0"/>
              <w:adjustRightInd/>
              <w:spacing w:line="360" w:lineRule="exact"/>
              <w:textAlignment w:val="auto"/>
              <w:rPr>
                <w:kern w:val="2"/>
                <w:sz w:val="24"/>
                <w:szCs w:val="24"/>
              </w:rPr>
            </w:pPr>
            <w:r>
              <w:rPr>
                <w:kern w:val="2"/>
                <w:sz w:val="24"/>
                <w:szCs w:val="24"/>
              </w:rPr>
              <w:t>环境质量标准</w:t>
            </w:r>
          </w:p>
        </w:tc>
        <w:tc>
          <w:tcPr>
            <w:tcW w:w="8871" w:type="dxa"/>
          </w:tcPr>
          <w:p>
            <w:pPr>
              <w:autoSpaceDE w:val="0"/>
              <w:autoSpaceDN w:val="0"/>
              <w:adjustRightInd w:val="0"/>
              <w:spacing w:line="460" w:lineRule="exact"/>
              <w:ind w:firstLine="480" w:firstLineChars="200"/>
              <w:jc w:val="left"/>
              <w:rPr>
                <w:kern w:val="0"/>
                <w:sz w:val="24"/>
              </w:rPr>
            </w:pPr>
            <w:r>
              <w:rPr>
                <w:sz w:val="24"/>
              </w:rPr>
              <w:t>本次验收</w:t>
            </w:r>
            <w:r>
              <w:rPr>
                <w:kern w:val="0"/>
                <w:sz w:val="24"/>
              </w:rPr>
              <w:t>采用建设项目环境影响评价阶段经环境保护部门确认的环境保护标准</w:t>
            </w:r>
            <w:r>
              <w:rPr>
                <w:rFonts w:hint="eastAsia"/>
                <w:kern w:val="0"/>
                <w:sz w:val="24"/>
              </w:rPr>
              <w:t>，</w:t>
            </w:r>
            <w:r>
              <w:rPr>
                <w:kern w:val="0"/>
                <w:sz w:val="24"/>
              </w:rPr>
              <w:t>对已修订新颁布的环境保护标准提出验收后按新标准进行达标考核的建议。</w:t>
            </w:r>
          </w:p>
          <w:p>
            <w:pPr>
              <w:autoSpaceDE w:val="0"/>
              <w:autoSpaceDN w:val="0"/>
              <w:adjustRightInd w:val="0"/>
              <w:spacing w:line="460" w:lineRule="exact"/>
              <w:ind w:firstLine="480" w:firstLineChars="200"/>
              <w:jc w:val="left"/>
              <w:rPr>
                <w:kern w:val="0"/>
                <w:sz w:val="24"/>
              </w:rPr>
            </w:pPr>
            <w:r>
              <w:rPr>
                <w:kern w:val="0"/>
                <w:sz w:val="24"/>
              </w:rPr>
              <w:t>1、环境空气</w:t>
            </w:r>
          </w:p>
          <w:p>
            <w:pPr>
              <w:pStyle w:val="86"/>
              <w:ind w:firstLine="480"/>
              <w:rPr>
                <w:rFonts w:cs="Times New Roman"/>
              </w:rPr>
            </w:pPr>
            <w:r>
              <w:rPr>
                <w:rFonts w:cs="Times New Roman"/>
              </w:rPr>
              <w:t>环境空气质量执行《环境空气质量标准》（GB3095-2012）</w:t>
            </w:r>
            <w:r>
              <w:rPr>
                <w:rFonts w:hint="eastAsia" w:cs="Times New Roman"/>
                <w:lang w:val="en-US" w:eastAsia="zh-CN"/>
              </w:rPr>
              <w:t>及修改单</w:t>
            </w:r>
            <w:r>
              <w:rPr>
                <w:rFonts w:cs="Times New Roman"/>
              </w:rPr>
              <w:t>二级标准</w:t>
            </w:r>
            <w:r>
              <w:rPr>
                <w:rFonts w:hint="eastAsia" w:cs="Times New Roman"/>
              </w:rPr>
              <w:t>。</w:t>
            </w:r>
          </w:p>
          <w:p>
            <w:pPr>
              <w:pStyle w:val="90"/>
              <w:rPr>
                <w:bCs/>
                <w:szCs w:val="21"/>
              </w:rPr>
            </w:pPr>
            <w:r>
              <w:t>表3-</w:t>
            </w:r>
            <w:r>
              <w:rPr>
                <w:rFonts w:hint="eastAsia"/>
              </w:rPr>
              <w:t>1</w:t>
            </w:r>
            <w:r>
              <w:t>环境空气质量标准（GB3095-2012）单位：μg/</w:t>
            </w:r>
            <w:r>
              <w:rPr>
                <w:rFonts w:hint="eastAsia"/>
              </w:rPr>
              <w:t>N</w:t>
            </w:r>
            <w:r>
              <w:t>m</w:t>
            </w:r>
            <w:r>
              <w:rPr>
                <w:vertAlign w:val="superscript"/>
              </w:rPr>
              <w:t>3</w:t>
            </w:r>
          </w:p>
          <w:tbl>
            <w:tblPr>
              <w:tblStyle w:val="32"/>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1546"/>
              <w:gridCol w:w="1561"/>
              <w:gridCol w:w="1509"/>
              <w:gridCol w:w="22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45" w:type="dxa"/>
                  <w:vAlign w:val="center"/>
                </w:tcPr>
                <w:p>
                  <w:pPr>
                    <w:pStyle w:val="89"/>
                    <w:rPr>
                      <w:rFonts w:cs="Times New Roman"/>
                    </w:rPr>
                  </w:pPr>
                  <w:r>
                    <w:rPr>
                      <w:rFonts w:cs="Times New Roman"/>
                    </w:rPr>
                    <w:t>污染物</w:t>
                  </w:r>
                </w:p>
              </w:tc>
              <w:tc>
                <w:tcPr>
                  <w:tcW w:w="1546" w:type="dxa"/>
                  <w:vAlign w:val="center"/>
                </w:tcPr>
                <w:p>
                  <w:pPr>
                    <w:pStyle w:val="89"/>
                    <w:rPr>
                      <w:rFonts w:cs="Times New Roman"/>
                    </w:rPr>
                  </w:pPr>
                  <w:r>
                    <w:rPr>
                      <w:rFonts w:cs="Times New Roman"/>
                    </w:rPr>
                    <w:t>年平均</w:t>
                  </w:r>
                </w:p>
              </w:tc>
              <w:tc>
                <w:tcPr>
                  <w:tcW w:w="1561" w:type="dxa"/>
                  <w:vAlign w:val="center"/>
                </w:tcPr>
                <w:p>
                  <w:pPr>
                    <w:pStyle w:val="89"/>
                    <w:rPr>
                      <w:rFonts w:cs="Times New Roman"/>
                    </w:rPr>
                  </w:pPr>
                  <w:r>
                    <w:rPr>
                      <w:rFonts w:cs="Times New Roman"/>
                    </w:rPr>
                    <w:t>日平均</w:t>
                  </w:r>
                </w:p>
              </w:tc>
              <w:tc>
                <w:tcPr>
                  <w:tcW w:w="1509" w:type="dxa"/>
                  <w:vAlign w:val="center"/>
                </w:tcPr>
                <w:p>
                  <w:pPr>
                    <w:pStyle w:val="89"/>
                    <w:rPr>
                      <w:rFonts w:cs="Times New Roman"/>
                    </w:rPr>
                  </w:pPr>
                  <w:r>
                    <w:rPr>
                      <w:rFonts w:cs="Times New Roman"/>
                    </w:rPr>
                    <w:t>1小时平均</w:t>
                  </w:r>
                </w:p>
              </w:tc>
              <w:tc>
                <w:tcPr>
                  <w:tcW w:w="2284" w:type="dxa"/>
                  <w:vAlign w:val="center"/>
                </w:tcPr>
                <w:p>
                  <w:pPr>
                    <w:pStyle w:val="89"/>
                    <w:rPr>
                      <w:rFonts w:cs="Times New Roman"/>
                    </w:rPr>
                  </w:pPr>
                  <w:r>
                    <w:rPr>
                      <w:rFonts w:cs="Times New Roma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45" w:type="dxa"/>
                  <w:vAlign w:val="center"/>
                </w:tcPr>
                <w:p>
                  <w:pPr>
                    <w:pStyle w:val="89"/>
                    <w:rPr>
                      <w:rFonts w:cs="Times New Roman"/>
                    </w:rPr>
                  </w:pPr>
                  <w:r>
                    <w:rPr>
                      <w:rFonts w:cs="Times New Roman"/>
                    </w:rPr>
                    <w:t>TSP</w:t>
                  </w:r>
                </w:p>
              </w:tc>
              <w:tc>
                <w:tcPr>
                  <w:tcW w:w="1546" w:type="dxa"/>
                  <w:vAlign w:val="center"/>
                </w:tcPr>
                <w:p>
                  <w:pPr>
                    <w:pStyle w:val="89"/>
                    <w:rPr>
                      <w:rFonts w:cs="Times New Roman"/>
                    </w:rPr>
                  </w:pPr>
                  <w:r>
                    <w:rPr>
                      <w:rFonts w:cs="Times New Roman"/>
                    </w:rPr>
                    <w:t>200</w:t>
                  </w:r>
                </w:p>
              </w:tc>
              <w:tc>
                <w:tcPr>
                  <w:tcW w:w="1561" w:type="dxa"/>
                  <w:vAlign w:val="center"/>
                </w:tcPr>
                <w:p>
                  <w:pPr>
                    <w:pStyle w:val="89"/>
                    <w:rPr>
                      <w:rFonts w:cs="Times New Roman"/>
                    </w:rPr>
                  </w:pPr>
                  <w:r>
                    <w:rPr>
                      <w:rFonts w:cs="Times New Roman"/>
                    </w:rPr>
                    <w:t>300</w:t>
                  </w:r>
                </w:p>
              </w:tc>
              <w:tc>
                <w:tcPr>
                  <w:tcW w:w="1509" w:type="dxa"/>
                  <w:vAlign w:val="center"/>
                </w:tcPr>
                <w:p>
                  <w:pPr>
                    <w:pStyle w:val="89"/>
                    <w:rPr>
                      <w:rFonts w:cs="Times New Roman"/>
                    </w:rPr>
                  </w:pPr>
                  <w:r>
                    <w:rPr>
                      <w:rFonts w:cs="Times New Roman"/>
                    </w:rPr>
                    <w:t>-</w:t>
                  </w:r>
                </w:p>
              </w:tc>
              <w:tc>
                <w:tcPr>
                  <w:tcW w:w="2284" w:type="dxa"/>
                  <w:vMerge w:val="restart"/>
                  <w:vAlign w:val="center"/>
                </w:tcPr>
                <w:p>
                  <w:pPr>
                    <w:pStyle w:val="89"/>
                    <w:rPr>
                      <w:rFonts w:cs="Times New Roman"/>
                    </w:rPr>
                  </w:pPr>
                  <w:r>
                    <w:rPr>
                      <w:rFonts w:cs="Times New Roman"/>
                    </w:rPr>
                    <w:t>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45" w:type="dxa"/>
                  <w:vAlign w:val="center"/>
                </w:tcPr>
                <w:p>
                  <w:pPr>
                    <w:pStyle w:val="89"/>
                    <w:rPr>
                      <w:rFonts w:cs="Times New Roman"/>
                    </w:rPr>
                  </w:pPr>
                  <w:r>
                    <w:rPr>
                      <w:rFonts w:cs="Times New Roman"/>
                    </w:rPr>
                    <w:t>PM</w:t>
                  </w:r>
                  <w:r>
                    <w:rPr>
                      <w:rFonts w:cs="Times New Roman"/>
                      <w:vertAlign w:val="subscript"/>
                    </w:rPr>
                    <w:t>10</w:t>
                  </w:r>
                </w:p>
              </w:tc>
              <w:tc>
                <w:tcPr>
                  <w:tcW w:w="1546" w:type="dxa"/>
                  <w:vAlign w:val="center"/>
                </w:tcPr>
                <w:p>
                  <w:pPr>
                    <w:pStyle w:val="89"/>
                    <w:rPr>
                      <w:rFonts w:cs="Times New Roman"/>
                    </w:rPr>
                  </w:pPr>
                  <w:r>
                    <w:rPr>
                      <w:rFonts w:cs="Times New Roman"/>
                    </w:rPr>
                    <w:t>70</w:t>
                  </w:r>
                </w:p>
              </w:tc>
              <w:tc>
                <w:tcPr>
                  <w:tcW w:w="1561" w:type="dxa"/>
                  <w:vAlign w:val="center"/>
                </w:tcPr>
                <w:p>
                  <w:pPr>
                    <w:pStyle w:val="89"/>
                    <w:rPr>
                      <w:rFonts w:cs="Times New Roman"/>
                    </w:rPr>
                  </w:pPr>
                  <w:r>
                    <w:rPr>
                      <w:rFonts w:cs="Times New Roman"/>
                    </w:rPr>
                    <w:t>150</w:t>
                  </w:r>
                </w:p>
              </w:tc>
              <w:tc>
                <w:tcPr>
                  <w:tcW w:w="1509" w:type="dxa"/>
                  <w:vAlign w:val="center"/>
                </w:tcPr>
                <w:p>
                  <w:pPr>
                    <w:pStyle w:val="89"/>
                    <w:rPr>
                      <w:rFonts w:cs="Times New Roman"/>
                    </w:rPr>
                  </w:pPr>
                  <w:r>
                    <w:rPr>
                      <w:rFonts w:cs="Times New Roman"/>
                    </w:rPr>
                    <w:t>-</w:t>
                  </w:r>
                </w:p>
              </w:tc>
              <w:tc>
                <w:tcPr>
                  <w:tcW w:w="2284" w:type="dxa"/>
                  <w:vMerge w:val="continue"/>
                  <w:vAlign w:val="center"/>
                </w:tcPr>
                <w:p>
                  <w:pPr>
                    <w:pStyle w:val="89"/>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45" w:type="dxa"/>
                  <w:vAlign w:val="center"/>
                </w:tcPr>
                <w:p>
                  <w:pPr>
                    <w:pStyle w:val="89"/>
                    <w:rPr>
                      <w:rFonts w:cs="Times New Roman"/>
                    </w:rPr>
                  </w:pPr>
                  <w:r>
                    <w:rPr>
                      <w:rFonts w:cs="Times New Roman"/>
                    </w:rPr>
                    <w:t>PM</w:t>
                  </w:r>
                  <w:r>
                    <w:rPr>
                      <w:rFonts w:hint="eastAsia" w:cs="Times New Roman"/>
                      <w:vertAlign w:val="subscript"/>
                    </w:rPr>
                    <w:t>2.5</w:t>
                  </w:r>
                </w:p>
              </w:tc>
              <w:tc>
                <w:tcPr>
                  <w:tcW w:w="1546" w:type="dxa"/>
                  <w:vAlign w:val="center"/>
                </w:tcPr>
                <w:p>
                  <w:pPr>
                    <w:pStyle w:val="89"/>
                    <w:rPr>
                      <w:rFonts w:cs="Times New Roman"/>
                    </w:rPr>
                  </w:pPr>
                  <w:r>
                    <w:rPr>
                      <w:rFonts w:hint="eastAsia" w:cs="Times New Roman"/>
                    </w:rPr>
                    <w:t>35</w:t>
                  </w:r>
                </w:p>
              </w:tc>
              <w:tc>
                <w:tcPr>
                  <w:tcW w:w="1561" w:type="dxa"/>
                  <w:vAlign w:val="center"/>
                </w:tcPr>
                <w:p>
                  <w:pPr>
                    <w:pStyle w:val="89"/>
                    <w:rPr>
                      <w:rFonts w:cs="Times New Roman"/>
                    </w:rPr>
                  </w:pPr>
                  <w:r>
                    <w:rPr>
                      <w:rFonts w:hint="eastAsia" w:cs="Times New Roman"/>
                    </w:rPr>
                    <w:t>75</w:t>
                  </w:r>
                </w:p>
              </w:tc>
              <w:tc>
                <w:tcPr>
                  <w:tcW w:w="1509" w:type="dxa"/>
                  <w:vAlign w:val="center"/>
                </w:tcPr>
                <w:p>
                  <w:pPr>
                    <w:pStyle w:val="89"/>
                    <w:rPr>
                      <w:rFonts w:cs="Times New Roman"/>
                    </w:rPr>
                  </w:pPr>
                  <w:r>
                    <w:rPr>
                      <w:rFonts w:hint="eastAsia" w:cs="Times New Roman"/>
                    </w:rPr>
                    <w:t>-</w:t>
                  </w:r>
                </w:p>
              </w:tc>
              <w:tc>
                <w:tcPr>
                  <w:tcW w:w="2284" w:type="dxa"/>
                  <w:vMerge w:val="continue"/>
                  <w:vAlign w:val="center"/>
                </w:tcPr>
                <w:p>
                  <w:pPr>
                    <w:pStyle w:val="89"/>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45" w:type="dxa"/>
                  <w:vAlign w:val="center"/>
                </w:tcPr>
                <w:p>
                  <w:pPr>
                    <w:pStyle w:val="89"/>
                    <w:rPr>
                      <w:rFonts w:cs="Times New Roman"/>
                    </w:rPr>
                  </w:pPr>
                  <w:r>
                    <w:rPr>
                      <w:rFonts w:cs="Times New Roman"/>
                    </w:rPr>
                    <w:t>SO</w:t>
                  </w:r>
                  <w:r>
                    <w:rPr>
                      <w:rFonts w:cs="Times New Roman"/>
                      <w:vertAlign w:val="subscript"/>
                    </w:rPr>
                    <w:t>2</w:t>
                  </w:r>
                </w:p>
              </w:tc>
              <w:tc>
                <w:tcPr>
                  <w:tcW w:w="1546" w:type="dxa"/>
                  <w:vAlign w:val="center"/>
                </w:tcPr>
                <w:p>
                  <w:pPr>
                    <w:pStyle w:val="89"/>
                    <w:rPr>
                      <w:rFonts w:cs="Times New Roman"/>
                    </w:rPr>
                  </w:pPr>
                  <w:r>
                    <w:rPr>
                      <w:rFonts w:cs="Times New Roman"/>
                    </w:rPr>
                    <w:t>60</w:t>
                  </w:r>
                </w:p>
              </w:tc>
              <w:tc>
                <w:tcPr>
                  <w:tcW w:w="1561" w:type="dxa"/>
                  <w:vAlign w:val="center"/>
                </w:tcPr>
                <w:p>
                  <w:pPr>
                    <w:pStyle w:val="89"/>
                    <w:rPr>
                      <w:rFonts w:cs="Times New Roman"/>
                    </w:rPr>
                  </w:pPr>
                  <w:r>
                    <w:rPr>
                      <w:rFonts w:cs="Times New Roman"/>
                    </w:rPr>
                    <w:t>150</w:t>
                  </w:r>
                </w:p>
              </w:tc>
              <w:tc>
                <w:tcPr>
                  <w:tcW w:w="1509" w:type="dxa"/>
                  <w:vAlign w:val="center"/>
                </w:tcPr>
                <w:p>
                  <w:pPr>
                    <w:pStyle w:val="89"/>
                    <w:rPr>
                      <w:rFonts w:cs="Times New Roman"/>
                    </w:rPr>
                  </w:pPr>
                  <w:r>
                    <w:rPr>
                      <w:rFonts w:cs="Times New Roman"/>
                    </w:rPr>
                    <w:t>500</w:t>
                  </w:r>
                </w:p>
              </w:tc>
              <w:tc>
                <w:tcPr>
                  <w:tcW w:w="2284" w:type="dxa"/>
                  <w:vMerge w:val="continue"/>
                  <w:vAlign w:val="center"/>
                </w:tcPr>
                <w:p>
                  <w:pPr>
                    <w:pStyle w:val="89"/>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745" w:type="dxa"/>
                  <w:vAlign w:val="center"/>
                </w:tcPr>
                <w:p>
                  <w:pPr>
                    <w:pStyle w:val="89"/>
                    <w:rPr>
                      <w:rFonts w:cs="Times New Roman"/>
                    </w:rPr>
                  </w:pPr>
                  <w:r>
                    <w:rPr>
                      <w:rFonts w:cs="Times New Roman"/>
                    </w:rPr>
                    <w:t>NO</w:t>
                  </w:r>
                  <w:r>
                    <w:rPr>
                      <w:rFonts w:cs="Times New Roman"/>
                      <w:vertAlign w:val="subscript"/>
                    </w:rPr>
                    <w:t>2</w:t>
                  </w:r>
                </w:p>
              </w:tc>
              <w:tc>
                <w:tcPr>
                  <w:tcW w:w="1546" w:type="dxa"/>
                  <w:vAlign w:val="center"/>
                </w:tcPr>
                <w:p>
                  <w:pPr>
                    <w:pStyle w:val="89"/>
                    <w:rPr>
                      <w:rFonts w:cs="Times New Roman"/>
                    </w:rPr>
                  </w:pPr>
                  <w:r>
                    <w:rPr>
                      <w:rFonts w:cs="Times New Roman"/>
                    </w:rPr>
                    <w:t>40</w:t>
                  </w:r>
                </w:p>
              </w:tc>
              <w:tc>
                <w:tcPr>
                  <w:tcW w:w="1561" w:type="dxa"/>
                  <w:vAlign w:val="center"/>
                </w:tcPr>
                <w:p>
                  <w:pPr>
                    <w:pStyle w:val="89"/>
                    <w:rPr>
                      <w:rFonts w:cs="Times New Roman"/>
                    </w:rPr>
                  </w:pPr>
                  <w:r>
                    <w:rPr>
                      <w:rFonts w:cs="Times New Roman"/>
                    </w:rPr>
                    <w:t>80</w:t>
                  </w:r>
                </w:p>
              </w:tc>
              <w:tc>
                <w:tcPr>
                  <w:tcW w:w="1509" w:type="dxa"/>
                  <w:vAlign w:val="center"/>
                </w:tcPr>
                <w:p>
                  <w:pPr>
                    <w:pStyle w:val="89"/>
                    <w:rPr>
                      <w:rFonts w:cs="Times New Roman"/>
                    </w:rPr>
                  </w:pPr>
                  <w:r>
                    <w:rPr>
                      <w:rFonts w:cs="Times New Roman"/>
                    </w:rPr>
                    <w:t>200</w:t>
                  </w:r>
                </w:p>
              </w:tc>
              <w:tc>
                <w:tcPr>
                  <w:tcW w:w="2284" w:type="dxa"/>
                  <w:vMerge w:val="continue"/>
                  <w:vAlign w:val="center"/>
                </w:tcPr>
                <w:p>
                  <w:pPr>
                    <w:pStyle w:val="89"/>
                    <w:rPr>
                      <w:rFonts w:cs="Times New Roman"/>
                    </w:rPr>
                  </w:pPr>
                </w:p>
              </w:tc>
            </w:tr>
          </w:tbl>
          <w:p>
            <w:pPr>
              <w:pStyle w:val="86"/>
              <w:ind w:firstLine="480"/>
              <w:rPr>
                <w:rFonts w:cs="Times New Roman"/>
              </w:rPr>
            </w:pPr>
            <w:r>
              <w:rPr>
                <w:rFonts w:cs="Times New Roman"/>
                <w:bCs/>
              </w:rPr>
              <w:t>2、地表水</w:t>
            </w:r>
          </w:p>
          <w:p>
            <w:pPr>
              <w:pStyle w:val="86"/>
              <w:ind w:firstLine="480"/>
              <w:rPr>
                <w:rFonts w:cs="Times New Roman"/>
                <w:bCs/>
                <w:color w:val="FF0000"/>
              </w:rPr>
            </w:pPr>
            <w:r>
              <w:t>项目区附近涉及地表水体主要为朱家川河、黄河，根据《山西省地表水环境功能区划》（DB14/67-2014），项目属于黄河干流（西北部）黄河偏关-吴堡区源头至入黄河口段，属于农业用水保护，按《地表水环境质量标准》（GB3838-2002）中《地表水环境质量标准》</w:t>
            </w:r>
            <w:r>
              <w:rPr>
                <w:rFonts w:hint="eastAsia" w:ascii="宋体" w:hAnsi="宋体"/>
              </w:rPr>
              <w:t>Ⅴ</w:t>
            </w:r>
            <w:r>
              <w:t>类标准执行</w:t>
            </w:r>
            <w:r>
              <w:rPr>
                <w:rFonts w:cs="Times New Roman"/>
                <w:bCs/>
              </w:rPr>
              <w:t>。</w:t>
            </w:r>
          </w:p>
          <w:p>
            <w:pPr>
              <w:pStyle w:val="90"/>
            </w:pPr>
            <w:r>
              <w:t>表3-</w:t>
            </w:r>
            <w:r>
              <w:rPr>
                <w:rFonts w:hint="eastAsia"/>
              </w:rPr>
              <w:t>2</w:t>
            </w:r>
            <w:r>
              <w:t>地表水环境质量标准</w:t>
            </w:r>
          </w:p>
          <w:tbl>
            <w:tblPr>
              <w:tblStyle w:val="33"/>
              <w:tblW w:w="863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390"/>
              <w:gridCol w:w="674"/>
              <w:gridCol w:w="974"/>
              <w:gridCol w:w="972"/>
              <w:gridCol w:w="974"/>
              <w:gridCol w:w="1404"/>
              <w:gridCol w:w="1124"/>
              <w:gridCol w:w="112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1390" w:type="dxa"/>
                  <w:tcBorders>
                    <w:right w:val="single" w:color="auto" w:sz="4" w:space="0"/>
                  </w:tcBorders>
                  <w:vAlign w:val="center"/>
                </w:tcPr>
                <w:p>
                  <w:pPr>
                    <w:pStyle w:val="89"/>
                    <w:rPr>
                      <w:rFonts w:cs="Times New Roman"/>
                    </w:rPr>
                  </w:pPr>
                  <w:r>
                    <w:rPr>
                      <w:rFonts w:hint="eastAsia" w:cs="Times New Roman"/>
                    </w:rPr>
                    <w:t>项目</w:t>
                  </w:r>
                </w:p>
              </w:tc>
              <w:tc>
                <w:tcPr>
                  <w:tcW w:w="674" w:type="dxa"/>
                  <w:tcBorders>
                    <w:left w:val="single" w:color="auto" w:sz="4" w:space="0"/>
                  </w:tcBorders>
                  <w:vAlign w:val="center"/>
                </w:tcPr>
                <w:p>
                  <w:pPr>
                    <w:pStyle w:val="89"/>
                    <w:rPr>
                      <w:rFonts w:cs="Times New Roman"/>
                      <w:spacing w:val="-4"/>
                    </w:rPr>
                  </w:pPr>
                  <w:r>
                    <w:rPr>
                      <w:rFonts w:cs="Times New Roman"/>
                      <w:spacing w:val="-4"/>
                    </w:rPr>
                    <w:t>PH</w:t>
                  </w:r>
                </w:p>
              </w:tc>
              <w:tc>
                <w:tcPr>
                  <w:tcW w:w="974" w:type="dxa"/>
                  <w:vAlign w:val="center"/>
                </w:tcPr>
                <w:p>
                  <w:pPr>
                    <w:pStyle w:val="89"/>
                    <w:rPr>
                      <w:rFonts w:cs="Times New Roman"/>
                      <w:spacing w:val="-4"/>
                    </w:rPr>
                  </w:pPr>
                  <w:r>
                    <w:rPr>
                      <w:rFonts w:cs="Times New Roman"/>
                      <w:spacing w:val="-4"/>
                    </w:rPr>
                    <w:t>COD</w:t>
                  </w:r>
                </w:p>
                <w:p>
                  <w:pPr>
                    <w:pStyle w:val="89"/>
                    <w:rPr>
                      <w:rFonts w:cs="Times New Roman"/>
                      <w:spacing w:val="-4"/>
                    </w:rPr>
                  </w:pPr>
                  <w:r>
                    <w:rPr>
                      <w:rFonts w:cs="Times New Roman"/>
                      <w:spacing w:val="-4"/>
                    </w:rPr>
                    <w:t>(mg/l)</w:t>
                  </w:r>
                </w:p>
              </w:tc>
              <w:tc>
                <w:tcPr>
                  <w:tcW w:w="972" w:type="dxa"/>
                  <w:vAlign w:val="center"/>
                </w:tcPr>
                <w:p>
                  <w:pPr>
                    <w:pStyle w:val="89"/>
                    <w:rPr>
                      <w:rFonts w:cs="Times New Roman"/>
                      <w:spacing w:val="-4"/>
                    </w:rPr>
                  </w:pPr>
                  <w:r>
                    <w:rPr>
                      <w:rFonts w:cs="Times New Roman"/>
                      <w:spacing w:val="-4"/>
                    </w:rPr>
                    <w:t>BOD</w:t>
                  </w:r>
                  <w:r>
                    <w:rPr>
                      <w:rFonts w:cs="Times New Roman"/>
                      <w:spacing w:val="-4"/>
                      <w:vertAlign w:val="subscript"/>
                    </w:rPr>
                    <w:t>5</w:t>
                  </w:r>
                </w:p>
                <w:p>
                  <w:pPr>
                    <w:pStyle w:val="89"/>
                    <w:rPr>
                      <w:rFonts w:cs="Times New Roman"/>
                      <w:spacing w:val="-4"/>
                    </w:rPr>
                  </w:pPr>
                  <w:r>
                    <w:rPr>
                      <w:rFonts w:cs="Times New Roman"/>
                      <w:spacing w:val="-4"/>
                    </w:rPr>
                    <w:t>(mg/l)</w:t>
                  </w:r>
                </w:p>
              </w:tc>
              <w:tc>
                <w:tcPr>
                  <w:tcW w:w="974" w:type="dxa"/>
                  <w:vAlign w:val="center"/>
                </w:tcPr>
                <w:p>
                  <w:pPr>
                    <w:pStyle w:val="89"/>
                    <w:rPr>
                      <w:rFonts w:cs="Times New Roman"/>
                      <w:spacing w:val="-4"/>
                    </w:rPr>
                  </w:pPr>
                  <w:r>
                    <w:rPr>
                      <w:rFonts w:cs="Times New Roman"/>
                      <w:spacing w:val="-4"/>
                    </w:rPr>
                    <w:t>氨氮</w:t>
                  </w:r>
                </w:p>
                <w:p>
                  <w:pPr>
                    <w:pStyle w:val="89"/>
                    <w:rPr>
                      <w:rFonts w:cs="Times New Roman"/>
                    </w:rPr>
                  </w:pPr>
                  <w:r>
                    <w:rPr>
                      <w:rFonts w:cs="Times New Roman"/>
                      <w:spacing w:val="-4"/>
                    </w:rPr>
                    <w:t>(mg/l)</w:t>
                  </w:r>
                </w:p>
              </w:tc>
              <w:tc>
                <w:tcPr>
                  <w:tcW w:w="1404" w:type="dxa"/>
                  <w:tcBorders>
                    <w:right w:val="single" w:color="auto" w:sz="4" w:space="0"/>
                  </w:tcBorders>
                  <w:vAlign w:val="center"/>
                </w:tcPr>
                <w:p>
                  <w:pPr>
                    <w:pStyle w:val="89"/>
                    <w:rPr>
                      <w:rFonts w:cs="Times New Roman"/>
                      <w:spacing w:val="-4"/>
                    </w:rPr>
                  </w:pPr>
                  <w:r>
                    <w:rPr>
                      <w:rFonts w:cs="Times New Roman"/>
                      <w:spacing w:val="-4"/>
                    </w:rPr>
                    <w:t>氟化物</w:t>
                  </w:r>
                </w:p>
                <w:p>
                  <w:pPr>
                    <w:pStyle w:val="89"/>
                    <w:rPr>
                      <w:rFonts w:cs="Times New Roman"/>
                      <w:spacing w:val="-4"/>
                    </w:rPr>
                  </w:pPr>
                  <w:r>
                    <w:rPr>
                      <w:rFonts w:cs="Times New Roman"/>
                      <w:spacing w:val="-4"/>
                    </w:rPr>
                    <w:t>(mg/l)</w:t>
                  </w:r>
                </w:p>
              </w:tc>
              <w:tc>
                <w:tcPr>
                  <w:tcW w:w="1124" w:type="dxa"/>
                  <w:tcBorders>
                    <w:left w:val="single" w:color="auto" w:sz="4" w:space="0"/>
                    <w:right w:val="single" w:color="auto" w:sz="4" w:space="0"/>
                  </w:tcBorders>
                  <w:vAlign w:val="center"/>
                </w:tcPr>
                <w:p>
                  <w:pPr>
                    <w:pStyle w:val="89"/>
                    <w:rPr>
                      <w:rFonts w:cs="Times New Roman"/>
                      <w:spacing w:val="-4"/>
                    </w:rPr>
                  </w:pPr>
                  <w:r>
                    <w:rPr>
                      <w:rFonts w:cs="Times New Roman"/>
                      <w:spacing w:val="-4"/>
                    </w:rPr>
                    <w:t>挥发酚</w:t>
                  </w:r>
                </w:p>
                <w:p>
                  <w:pPr>
                    <w:pStyle w:val="89"/>
                    <w:rPr>
                      <w:rFonts w:cs="Times New Roman"/>
                      <w:spacing w:val="-4"/>
                    </w:rPr>
                  </w:pPr>
                  <w:r>
                    <w:rPr>
                      <w:rFonts w:cs="Times New Roman"/>
                      <w:spacing w:val="-4"/>
                    </w:rPr>
                    <w:t>(mg/l)</w:t>
                  </w:r>
                </w:p>
              </w:tc>
              <w:tc>
                <w:tcPr>
                  <w:tcW w:w="1123" w:type="dxa"/>
                  <w:tcBorders>
                    <w:left w:val="single" w:color="auto" w:sz="4" w:space="0"/>
                  </w:tcBorders>
                  <w:vAlign w:val="center"/>
                </w:tcPr>
                <w:p>
                  <w:pPr>
                    <w:pStyle w:val="89"/>
                    <w:rPr>
                      <w:rFonts w:cs="Times New Roman"/>
                      <w:spacing w:val="-4"/>
                    </w:rPr>
                  </w:pPr>
                  <w:r>
                    <w:rPr>
                      <w:rFonts w:cs="Times New Roman"/>
                      <w:spacing w:val="-4"/>
                    </w:rPr>
                    <w:t>溶解氧</w:t>
                  </w:r>
                </w:p>
                <w:p>
                  <w:pPr>
                    <w:pStyle w:val="89"/>
                    <w:rPr>
                      <w:rFonts w:cs="Times New Roman"/>
                      <w:spacing w:val="-4"/>
                    </w:rPr>
                  </w:pPr>
                  <w:r>
                    <w:rPr>
                      <w:rFonts w:cs="Times New Roman"/>
                      <w:spacing w:val="-4"/>
                    </w:rPr>
                    <w:t>(mg/l)</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97" w:hRule="atLeast"/>
                <w:jc w:val="center"/>
              </w:trPr>
              <w:tc>
                <w:tcPr>
                  <w:tcW w:w="1390" w:type="dxa"/>
                  <w:tcBorders>
                    <w:right w:val="single" w:color="auto" w:sz="4" w:space="0"/>
                  </w:tcBorders>
                  <w:vAlign w:val="center"/>
                </w:tcPr>
                <w:p>
                  <w:pPr>
                    <w:pStyle w:val="89"/>
                    <w:rPr>
                      <w:rFonts w:cs="Times New Roman"/>
                      <w:spacing w:val="-4"/>
                    </w:rPr>
                  </w:pPr>
                  <w:r>
                    <w:rPr>
                      <w:rFonts w:hint="eastAsia" w:ascii="宋体" w:hAnsi="宋体" w:cs="宋体"/>
                      <w:spacing w:val="-4"/>
                    </w:rPr>
                    <w:t>标准</w:t>
                  </w:r>
                </w:p>
              </w:tc>
              <w:tc>
                <w:tcPr>
                  <w:tcW w:w="674" w:type="dxa"/>
                  <w:vAlign w:val="center"/>
                </w:tcPr>
                <w:p>
                  <w:pPr>
                    <w:pStyle w:val="89"/>
                    <w:rPr>
                      <w:rFonts w:cs="Times New Roman"/>
                    </w:rPr>
                  </w:pPr>
                  <w:r>
                    <w:rPr>
                      <w:rFonts w:cs="Times New Roman"/>
                    </w:rPr>
                    <w:t>6-9</w:t>
                  </w:r>
                </w:p>
              </w:tc>
              <w:tc>
                <w:tcPr>
                  <w:tcW w:w="974" w:type="dxa"/>
                  <w:vAlign w:val="center"/>
                </w:tcPr>
                <w:p>
                  <w:pPr>
                    <w:pStyle w:val="89"/>
                    <w:rPr>
                      <w:rFonts w:cs="Times New Roman"/>
                    </w:rPr>
                  </w:pPr>
                  <w:r>
                    <w:rPr>
                      <w:rFonts w:cs="Times New Roman"/>
                    </w:rPr>
                    <w:t>≤40</w:t>
                  </w:r>
                </w:p>
              </w:tc>
              <w:tc>
                <w:tcPr>
                  <w:tcW w:w="972" w:type="dxa"/>
                  <w:vAlign w:val="center"/>
                </w:tcPr>
                <w:p>
                  <w:pPr>
                    <w:pStyle w:val="89"/>
                    <w:rPr>
                      <w:rFonts w:cs="Times New Roman"/>
                    </w:rPr>
                  </w:pPr>
                  <w:r>
                    <w:rPr>
                      <w:rFonts w:cs="Times New Roman"/>
                    </w:rPr>
                    <w:t>≤10</w:t>
                  </w:r>
                </w:p>
              </w:tc>
              <w:tc>
                <w:tcPr>
                  <w:tcW w:w="974" w:type="dxa"/>
                  <w:vAlign w:val="center"/>
                </w:tcPr>
                <w:p>
                  <w:pPr>
                    <w:pStyle w:val="89"/>
                    <w:rPr>
                      <w:rFonts w:cs="Times New Roman"/>
                    </w:rPr>
                  </w:pPr>
                  <w:r>
                    <w:rPr>
                      <w:rFonts w:cs="Times New Roman"/>
                    </w:rPr>
                    <w:t>≤2.0</w:t>
                  </w:r>
                </w:p>
              </w:tc>
              <w:tc>
                <w:tcPr>
                  <w:tcW w:w="1404" w:type="dxa"/>
                  <w:tcBorders>
                    <w:right w:val="single" w:color="auto" w:sz="4" w:space="0"/>
                  </w:tcBorders>
                  <w:vAlign w:val="center"/>
                </w:tcPr>
                <w:p>
                  <w:pPr>
                    <w:pStyle w:val="89"/>
                    <w:rPr>
                      <w:rFonts w:cs="Times New Roman"/>
                    </w:rPr>
                  </w:pPr>
                  <w:r>
                    <w:rPr>
                      <w:rFonts w:cs="Times New Roman"/>
                    </w:rPr>
                    <w:t>≤1.5</w:t>
                  </w:r>
                </w:p>
              </w:tc>
              <w:tc>
                <w:tcPr>
                  <w:tcW w:w="1124" w:type="dxa"/>
                  <w:tcBorders>
                    <w:left w:val="single" w:color="auto" w:sz="4" w:space="0"/>
                    <w:right w:val="single" w:color="auto" w:sz="4" w:space="0"/>
                  </w:tcBorders>
                  <w:vAlign w:val="center"/>
                </w:tcPr>
                <w:p>
                  <w:pPr>
                    <w:pStyle w:val="89"/>
                    <w:rPr>
                      <w:rFonts w:cs="Times New Roman"/>
                    </w:rPr>
                  </w:pPr>
                  <w:r>
                    <w:rPr>
                      <w:rFonts w:cs="Times New Roman"/>
                    </w:rPr>
                    <w:t>≤0.1</w:t>
                  </w:r>
                </w:p>
              </w:tc>
              <w:tc>
                <w:tcPr>
                  <w:tcW w:w="1123" w:type="dxa"/>
                  <w:tcBorders>
                    <w:left w:val="single" w:color="auto" w:sz="4" w:space="0"/>
                  </w:tcBorders>
                  <w:vAlign w:val="center"/>
                </w:tcPr>
                <w:p>
                  <w:pPr>
                    <w:pStyle w:val="89"/>
                    <w:rPr>
                      <w:rFonts w:cs="Times New Roman"/>
                    </w:rPr>
                  </w:pPr>
                  <w:r>
                    <w:rPr>
                      <w:rFonts w:cs="Times New Roman"/>
                    </w:rPr>
                    <w:t>≥2</w:t>
                  </w:r>
                </w:p>
              </w:tc>
            </w:tr>
          </w:tbl>
          <w:p>
            <w:pPr>
              <w:pStyle w:val="86"/>
              <w:ind w:firstLine="480"/>
              <w:rPr>
                <w:rFonts w:cs="Times New Roman"/>
              </w:rPr>
            </w:pPr>
            <w:r>
              <w:rPr>
                <w:rFonts w:cs="Times New Roman"/>
              </w:rPr>
              <w:t>3、地下水</w:t>
            </w:r>
          </w:p>
          <w:p>
            <w:pPr>
              <w:pStyle w:val="86"/>
              <w:ind w:firstLine="480"/>
              <w:rPr>
                <w:rFonts w:cs="Times New Roman"/>
              </w:rPr>
            </w:pPr>
            <w:r>
              <w:rPr>
                <w:rFonts w:hint="eastAsia" w:cs="Times New Roman"/>
              </w:rPr>
              <w:t>根据环评批复标准，地下水执行《地下水质量标准》（GB/T14843-93）Ⅲ类标准</w:t>
            </w:r>
            <w:r>
              <w:rPr>
                <w:rFonts w:hint="eastAsia" w:cs="Times New Roman"/>
                <w:lang w:eastAsia="zh-CN"/>
              </w:rPr>
              <w:t>，</w:t>
            </w:r>
            <w:r>
              <w:rPr>
                <w:rFonts w:hint="eastAsia" w:cs="Times New Roman"/>
              </w:rPr>
              <w:t>此次验收以《地下水质量标准》（GB/T14843-2017）Ⅲ类标准作为校核标准</w:t>
            </w:r>
            <w:r>
              <w:rPr>
                <w:rFonts w:hint="eastAsia" w:cs="Times New Roman"/>
                <w:lang w:eastAsia="zh-CN"/>
              </w:rPr>
              <w:t>，</w:t>
            </w:r>
            <w:r>
              <w:rPr>
                <w:rFonts w:hint="eastAsia" w:cs="Times New Roman"/>
              </w:rPr>
              <w:t>见表3-3、表3-4。</w:t>
            </w:r>
          </w:p>
          <w:p>
            <w:pPr>
              <w:pStyle w:val="90"/>
            </w:pPr>
            <w:r>
              <w:t>表3-</w:t>
            </w:r>
            <w:r>
              <w:rPr>
                <w:rFonts w:hint="eastAsia"/>
              </w:rPr>
              <w:t>3</w:t>
            </w:r>
            <w:r>
              <w:rPr>
                <w:szCs w:val="21"/>
              </w:rPr>
              <w:t>地下水质量标准（GB/T14843-</w:t>
            </w:r>
            <w:r>
              <w:rPr>
                <w:rFonts w:hint="eastAsia"/>
                <w:szCs w:val="21"/>
              </w:rPr>
              <w:t>93</w:t>
            </w:r>
            <w:r>
              <w:rPr>
                <w:szCs w:val="21"/>
              </w:rPr>
              <w:t>）    单位：mg/L（除pH外）</w:t>
            </w:r>
          </w:p>
          <w:tbl>
            <w:tblPr>
              <w:tblStyle w:val="32"/>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gridCol w:w="1081"/>
              <w:gridCol w:w="1081"/>
              <w:gridCol w:w="1081"/>
              <w:gridCol w:w="1081"/>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Align w:val="center"/>
                </w:tcPr>
                <w:p>
                  <w:pPr>
                    <w:pStyle w:val="89"/>
                    <w:rPr>
                      <w:rFonts w:cs="Times New Roman"/>
                    </w:rPr>
                  </w:pPr>
                  <w:r>
                    <w:rPr>
                      <w:rFonts w:cs="Times New Roman"/>
                    </w:rPr>
                    <w:t>污染物</w:t>
                  </w:r>
                </w:p>
              </w:tc>
              <w:tc>
                <w:tcPr>
                  <w:tcW w:w="1080" w:type="dxa"/>
                  <w:vAlign w:val="center"/>
                </w:tcPr>
                <w:p>
                  <w:pPr>
                    <w:pStyle w:val="89"/>
                    <w:rPr>
                      <w:rFonts w:cs="Times New Roman"/>
                    </w:rPr>
                  </w:pPr>
                  <w:r>
                    <w:rPr>
                      <w:rFonts w:cs="Times New Roman"/>
                    </w:rPr>
                    <w:t>pH</w:t>
                  </w:r>
                </w:p>
              </w:tc>
              <w:tc>
                <w:tcPr>
                  <w:tcW w:w="1080" w:type="dxa"/>
                  <w:vAlign w:val="center"/>
                </w:tcPr>
                <w:p>
                  <w:pPr>
                    <w:pStyle w:val="89"/>
                    <w:rPr>
                      <w:rFonts w:cs="Times New Roman"/>
                    </w:rPr>
                  </w:pPr>
                  <w:r>
                    <w:rPr>
                      <w:rFonts w:cs="Times New Roman"/>
                    </w:rPr>
                    <w:t>NO</w:t>
                  </w:r>
                  <w:r>
                    <w:rPr>
                      <w:rFonts w:cs="Times New Roman"/>
                      <w:vertAlign w:val="subscript"/>
                    </w:rPr>
                    <w:t>2</w:t>
                  </w:r>
                  <w:r>
                    <w:rPr>
                      <w:rFonts w:cs="Times New Roman"/>
                      <w:vertAlign w:val="superscript"/>
                    </w:rPr>
                    <w:t>-</w:t>
                  </w:r>
                  <w:r>
                    <w:rPr>
                      <w:rFonts w:cs="Times New Roman"/>
                    </w:rPr>
                    <w:t>-N</w:t>
                  </w:r>
                </w:p>
              </w:tc>
              <w:tc>
                <w:tcPr>
                  <w:tcW w:w="1081" w:type="dxa"/>
                  <w:vAlign w:val="center"/>
                </w:tcPr>
                <w:p>
                  <w:pPr>
                    <w:pStyle w:val="89"/>
                    <w:rPr>
                      <w:rFonts w:cs="Times New Roman"/>
                    </w:rPr>
                  </w:pPr>
                  <w:r>
                    <w:rPr>
                      <w:rFonts w:cs="Times New Roman"/>
                    </w:rPr>
                    <w:t>NO</w:t>
                  </w:r>
                  <w:r>
                    <w:rPr>
                      <w:rFonts w:cs="Times New Roman"/>
                      <w:vertAlign w:val="subscript"/>
                    </w:rPr>
                    <w:t>3</w:t>
                  </w:r>
                  <w:r>
                    <w:rPr>
                      <w:rFonts w:cs="Times New Roman"/>
                      <w:vertAlign w:val="superscript"/>
                    </w:rPr>
                    <w:t>-</w:t>
                  </w:r>
                  <w:r>
                    <w:rPr>
                      <w:rFonts w:cs="Times New Roman"/>
                    </w:rPr>
                    <w:t>-N</w:t>
                  </w:r>
                </w:p>
              </w:tc>
              <w:tc>
                <w:tcPr>
                  <w:tcW w:w="1081" w:type="dxa"/>
                  <w:vAlign w:val="center"/>
                </w:tcPr>
                <w:p>
                  <w:pPr>
                    <w:pStyle w:val="89"/>
                    <w:rPr>
                      <w:rFonts w:cs="Times New Roman"/>
                    </w:rPr>
                  </w:pPr>
                  <w:r>
                    <w:rPr>
                      <w:rFonts w:cs="Times New Roman"/>
                    </w:rPr>
                    <w:t>NH</w:t>
                  </w:r>
                  <w:r>
                    <w:rPr>
                      <w:rFonts w:cs="Times New Roman"/>
                      <w:vertAlign w:val="subscript"/>
                    </w:rPr>
                    <w:t>3</w:t>
                  </w:r>
                  <w:r>
                    <w:rPr>
                      <w:rFonts w:cs="Times New Roman"/>
                    </w:rPr>
                    <w:t>-N</w:t>
                  </w:r>
                </w:p>
              </w:tc>
              <w:tc>
                <w:tcPr>
                  <w:tcW w:w="1081" w:type="dxa"/>
                  <w:vAlign w:val="center"/>
                </w:tcPr>
                <w:p>
                  <w:pPr>
                    <w:pStyle w:val="89"/>
                    <w:rPr>
                      <w:rFonts w:cs="Times New Roman"/>
                    </w:rPr>
                  </w:pPr>
                  <w:r>
                    <w:rPr>
                      <w:rFonts w:cs="Times New Roman"/>
                    </w:rPr>
                    <w:t>细菌总数</w:t>
                  </w:r>
                </w:p>
                <w:p>
                  <w:pPr>
                    <w:pStyle w:val="89"/>
                    <w:rPr>
                      <w:rFonts w:cs="Times New Roman"/>
                    </w:rPr>
                  </w:pPr>
                  <w:r>
                    <w:rPr>
                      <w:rFonts w:cs="Times New Roman"/>
                    </w:rPr>
                    <w:t>（个/</w:t>
                  </w:r>
                  <w:r>
                    <w:rPr>
                      <w:rFonts w:hint="eastAsia" w:cs="Times New Roman"/>
                    </w:rPr>
                    <w:t>L</w:t>
                  </w:r>
                  <w:r>
                    <w:rPr>
                      <w:rFonts w:cs="Times New Roman"/>
                    </w:rPr>
                    <w:t>）</w:t>
                  </w:r>
                </w:p>
              </w:tc>
              <w:tc>
                <w:tcPr>
                  <w:tcW w:w="1081" w:type="dxa"/>
                  <w:vAlign w:val="center"/>
                </w:tcPr>
                <w:p>
                  <w:pPr>
                    <w:pStyle w:val="89"/>
                    <w:rPr>
                      <w:rFonts w:cs="Times New Roman"/>
                    </w:rPr>
                  </w:pPr>
                  <w:r>
                    <w:rPr>
                      <w:rFonts w:cs="Times New Roman"/>
                      <w:spacing w:val="-6"/>
                    </w:rPr>
                    <w:t>Fe</w:t>
                  </w:r>
                </w:p>
              </w:tc>
              <w:tc>
                <w:tcPr>
                  <w:tcW w:w="1081" w:type="dxa"/>
                  <w:vAlign w:val="center"/>
                </w:tcPr>
                <w:p>
                  <w:pPr>
                    <w:pStyle w:val="89"/>
                    <w:rPr>
                      <w:rFonts w:cs="Times New Roman"/>
                    </w:rPr>
                  </w:pPr>
                  <w:r>
                    <w:rPr>
                      <w:rFonts w:cs="Times New Roman"/>
                      <w:spacing w:val="-6"/>
                    </w:rPr>
                    <w:t>Mn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Align w:val="center"/>
                </w:tcPr>
                <w:p>
                  <w:pPr>
                    <w:pStyle w:val="89"/>
                    <w:rPr>
                      <w:rFonts w:cs="Times New Roman"/>
                    </w:rPr>
                  </w:pPr>
                  <w:r>
                    <w:rPr>
                      <w:rFonts w:cs="Times New Roman"/>
                    </w:rPr>
                    <w:t>标准值</w:t>
                  </w:r>
                </w:p>
              </w:tc>
              <w:tc>
                <w:tcPr>
                  <w:tcW w:w="1080" w:type="dxa"/>
                  <w:vAlign w:val="center"/>
                </w:tcPr>
                <w:p>
                  <w:pPr>
                    <w:pStyle w:val="89"/>
                    <w:rPr>
                      <w:rFonts w:cs="Times New Roman"/>
                    </w:rPr>
                  </w:pPr>
                  <w:r>
                    <w:rPr>
                      <w:rFonts w:cs="Times New Roman"/>
                      <w:spacing w:val="-6"/>
                    </w:rPr>
                    <w:t>6.5-8.5</w:t>
                  </w:r>
                </w:p>
              </w:tc>
              <w:tc>
                <w:tcPr>
                  <w:tcW w:w="1080" w:type="dxa"/>
                  <w:vAlign w:val="center"/>
                </w:tcPr>
                <w:p>
                  <w:pPr>
                    <w:pStyle w:val="89"/>
                    <w:rPr>
                      <w:rFonts w:cs="Times New Roman"/>
                    </w:rPr>
                  </w:pPr>
                  <w:r>
                    <w:rPr>
                      <w:rFonts w:cs="Times New Roman"/>
                    </w:rPr>
                    <w:t>≤0.02</w:t>
                  </w:r>
                </w:p>
              </w:tc>
              <w:tc>
                <w:tcPr>
                  <w:tcW w:w="1081" w:type="dxa"/>
                  <w:vAlign w:val="center"/>
                </w:tcPr>
                <w:p>
                  <w:pPr>
                    <w:pStyle w:val="89"/>
                    <w:rPr>
                      <w:rFonts w:cs="Times New Roman"/>
                    </w:rPr>
                  </w:pPr>
                  <w:r>
                    <w:rPr>
                      <w:rFonts w:cs="Times New Roman"/>
                    </w:rPr>
                    <w:t>≤20</w:t>
                  </w:r>
                </w:p>
              </w:tc>
              <w:tc>
                <w:tcPr>
                  <w:tcW w:w="1081" w:type="dxa"/>
                  <w:vAlign w:val="center"/>
                </w:tcPr>
                <w:p>
                  <w:pPr>
                    <w:pStyle w:val="89"/>
                    <w:rPr>
                      <w:rFonts w:cs="Times New Roman"/>
                      <w:spacing w:val="-6"/>
                    </w:rPr>
                  </w:pPr>
                  <w:r>
                    <w:rPr>
                      <w:rFonts w:cs="Times New Roman"/>
                    </w:rPr>
                    <w:t>≤0.2</w:t>
                  </w:r>
                </w:p>
              </w:tc>
              <w:tc>
                <w:tcPr>
                  <w:tcW w:w="1081" w:type="dxa"/>
                  <w:vAlign w:val="center"/>
                </w:tcPr>
                <w:p>
                  <w:pPr>
                    <w:pStyle w:val="89"/>
                    <w:rPr>
                      <w:rFonts w:cs="Times New Roman"/>
                      <w:spacing w:val="-6"/>
                    </w:rPr>
                  </w:pPr>
                  <w:r>
                    <w:rPr>
                      <w:rFonts w:cs="Times New Roman"/>
                    </w:rPr>
                    <w:t>≤100</w:t>
                  </w:r>
                </w:p>
              </w:tc>
              <w:tc>
                <w:tcPr>
                  <w:tcW w:w="1081" w:type="dxa"/>
                  <w:vAlign w:val="center"/>
                </w:tcPr>
                <w:p>
                  <w:pPr>
                    <w:pStyle w:val="89"/>
                    <w:rPr>
                      <w:rFonts w:cs="Times New Roman"/>
                    </w:rPr>
                  </w:pPr>
                  <w:r>
                    <w:rPr>
                      <w:rFonts w:cs="Times New Roman"/>
                    </w:rPr>
                    <w:t>≤0.3</w:t>
                  </w:r>
                </w:p>
              </w:tc>
              <w:tc>
                <w:tcPr>
                  <w:tcW w:w="1081" w:type="dxa"/>
                  <w:vAlign w:val="center"/>
                </w:tcPr>
                <w:p>
                  <w:pPr>
                    <w:pStyle w:val="89"/>
                    <w:rPr>
                      <w:rFonts w:cs="Times New Roman"/>
                      <w:spacing w:val="-6"/>
                    </w:rPr>
                  </w:pPr>
                  <w:r>
                    <w:rPr>
                      <w:rFonts w:cs="Times New Roman"/>
                    </w:rPr>
                    <w:t>≤</w:t>
                  </w:r>
                  <w:r>
                    <w:rPr>
                      <w:rFonts w:cs="Times New Roman"/>
                      <w:spacing w:val="-6"/>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Align w:val="center"/>
                </w:tcPr>
                <w:p>
                  <w:pPr>
                    <w:pStyle w:val="89"/>
                    <w:rPr>
                      <w:rFonts w:cs="Times New Roman"/>
                    </w:rPr>
                  </w:pPr>
                  <w:r>
                    <w:rPr>
                      <w:rFonts w:cs="Times New Roman"/>
                    </w:rPr>
                    <w:t>污染物</w:t>
                  </w:r>
                </w:p>
              </w:tc>
              <w:tc>
                <w:tcPr>
                  <w:tcW w:w="1080" w:type="dxa"/>
                  <w:vAlign w:val="center"/>
                </w:tcPr>
                <w:p>
                  <w:pPr>
                    <w:pStyle w:val="89"/>
                    <w:rPr>
                      <w:rFonts w:cs="Times New Roman"/>
                    </w:rPr>
                  </w:pPr>
                  <w:r>
                    <w:rPr>
                      <w:rFonts w:cs="Times New Roman"/>
                    </w:rPr>
                    <w:t>硫酸盐</w:t>
                  </w:r>
                </w:p>
              </w:tc>
              <w:tc>
                <w:tcPr>
                  <w:tcW w:w="1080" w:type="dxa"/>
                  <w:vAlign w:val="center"/>
                </w:tcPr>
                <w:p>
                  <w:pPr>
                    <w:pStyle w:val="89"/>
                    <w:rPr>
                      <w:rFonts w:cs="Times New Roman"/>
                    </w:rPr>
                  </w:pPr>
                  <w:r>
                    <w:rPr>
                      <w:rFonts w:cs="Times New Roman"/>
                    </w:rPr>
                    <w:t>总硬度</w:t>
                  </w:r>
                </w:p>
              </w:tc>
              <w:tc>
                <w:tcPr>
                  <w:tcW w:w="1081" w:type="dxa"/>
                  <w:vAlign w:val="center"/>
                </w:tcPr>
                <w:p>
                  <w:pPr>
                    <w:pStyle w:val="89"/>
                    <w:rPr>
                      <w:rFonts w:cs="Times New Roman"/>
                      <w:spacing w:val="-6"/>
                    </w:rPr>
                  </w:pPr>
                  <w:r>
                    <w:rPr>
                      <w:rFonts w:cs="Times New Roman"/>
                      <w:spacing w:val="-18"/>
                    </w:rPr>
                    <w:t>高锰酸盐指数</w:t>
                  </w:r>
                </w:p>
              </w:tc>
              <w:tc>
                <w:tcPr>
                  <w:tcW w:w="1081" w:type="dxa"/>
                  <w:vAlign w:val="center"/>
                </w:tcPr>
                <w:p>
                  <w:pPr>
                    <w:pStyle w:val="89"/>
                    <w:rPr>
                      <w:rFonts w:cs="Times New Roman"/>
                      <w:vertAlign w:val="superscript"/>
                    </w:rPr>
                  </w:pPr>
                  <w:r>
                    <w:rPr>
                      <w:rFonts w:cs="Times New Roman"/>
                    </w:rPr>
                    <w:t>F</w:t>
                  </w:r>
                  <w:r>
                    <w:rPr>
                      <w:rFonts w:cs="Times New Roman"/>
                      <w:vertAlign w:val="superscript"/>
                    </w:rPr>
                    <w:t>-</w:t>
                  </w:r>
                </w:p>
              </w:tc>
              <w:tc>
                <w:tcPr>
                  <w:tcW w:w="1081" w:type="dxa"/>
                  <w:vAlign w:val="center"/>
                </w:tcPr>
                <w:p>
                  <w:pPr>
                    <w:pStyle w:val="89"/>
                    <w:rPr>
                      <w:rFonts w:cs="Times New Roman"/>
                      <w:spacing w:val="-6"/>
                    </w:rPr>
                  </w:pPr>
                  <w:r>
                    <w:rPr>
                      <w:rFonts w:hint="eastAsia" w:cs="Times New Roman"/>
                      <w:spacing w:val="-6"/>
                    </w:rPr>
                    <w:t>总</w:t>
                  </w:r>
                  <w:r>
                    <w:rPr>
                      <w:rFonts w:cs="Times New Roman"/>
                      <w:spacing w:val="-6"/>
                    </w:rPr>
                    <w:t>大肠菌群</w:t>
                  </w:r>
                </w:p>
                <w:p>
                  <w:pPr>
                    <w:pStyle w:val="89"/>
                    <w:rPr>
                      <w:rFonts w:cs="Times New Roman"/>
                      <w:spacing w:val="-6"/>
                    </w:rPr>
                  </w:pPr>
                  <w:r>
                    <w:rPr>
                      <w:rFonts w:cs="Times New Roman"/>
                    </w:rPr>
                    <w:t>（个/</w:t>
                  </w:r>
                  <w:r>
                    <w:rPr>
                      <w:rFonts w:hint="eastAsia" w:cs="Times New Roman"/>
                    </w:rPr>
                    <w:t>L</w:t>
                  </w:r>
                  <w:r>
                    <w:rPr>
                      <w:rFonts w:cs="Times New Roman"/>
                    </w:rPr>
                    <w:t>）</w:t>
                  </w:r>
                </w:p>
              </w:tc>
              <w:tc>
                <w:tcPr>
                  <w:tcW w:w="1081" w:type="dxa"/>
                  <w:vAlign w:val="center"/>
                </w:tcPr>
                <w:p>
                  <w:pPr>
                    <w:pStyle w:val="89"/>
                    <w:rPr>
                      <w:rFonts w:cs="Times New Roman"/>
                    </w:rPr>
                  </w:pPr>
                  <w:r>
                    <w:rPr>
                      <w:rFonts w:cs="Times New Roman"/>
                    </w:rPr>
                    <w:t>As</w:t>
                  </w:r>
                </w:p>
              </w:tc>
              <w:tc>
                <w:tcPr>
                  <w:tcW w:w="1081" w:type="dxa"/>
                  <w:vAlign w:val="center"/>
                </w:tcPr>
                <w:p>
                  <w:pPr>
                    <w:pStyle w:val="89"/>
                    <w:rPr>
                      <w:rFonts w:cs="Times New Roman"/>
                      <w:spacing w:val="-6"/>
                    </w:rPr>
                  </w:pPr>
                  <w:r>
                    <w:rPr>
                      <w:rFonts w:cs="Times New Roman"/>
                      <w:spacing w:val="-6"/>
                    </w:rPr>
                    <w:t>Hg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Align w:val="center"/>
                </w:tcPr>
                <w:p>
                  <w:pPr>
                    <w:pStyle w:val="89"/>
                    <w:rPr>
                      <w:rFonts w:cs="Times New Roman"/>
                    </w:rPr>
                  </w:pPr>
                  <w:r>
                    <w:rPr>
                      <w:rFonts w:cs="Times New Roman"/>
                    </w:rPr>
                    <w:t>标准值</w:t>
                  </w:r>
                </w:p>
              </w:tc>
              <w:tc>
                <w:tcPr>
                  <w:tcW w:w="1080" w:type="dxa"/>
                  <w:vAlign w:val="center"/>
                </w:tcPr>
                <w:p>
                  <w:pPr>
                    <w:pStyle w:val="89"/>
                    <w:rPr>
                      <w:rFonts w:cs="Times New Roman"/>
                    </w:rPr>
                  </w:pPr>
                  <w:r>
                    <w:rPr>
                      <w:rFonts w:cs="Times New Roman"/>
                    </w:rPr>
                    <w:t>≤250</w:t>
                  </w:r>
                </w:p>
              </w:tc>
              <w:tc>
                <w:tcPr>
                  <w:tcW w:w="1080" w:type="dxa"/>
                  <w:vAlign w:val="center"/>
                </w:tcPr>
                <w:p>
                  <w:pPr>
                    <w:pStyle w:val="89"/>
                    <w:rPr>
                      <w:rFonts w:cs="Times New Roman"/>
                      <w:spacing w:val="-6"/>
                    </w:rPr>
                  </w:pPr>
                  <w:r>
                    <w:rPr>
                      <w:rFonts w:cs="Times New Roman"/>
                    </w:rPr>
                    <w:t>≤</w:t>
                  </w:r>
                  <w:r>
                    <w:rPr>
                      <w:rFonts w:cs="Times New Roman"/>
                      <w:spacing w:val="-6"/>
                    </w:rPr>
                    <w:t>450</w:t>
                  </w:r>
                </w:p>
              </w:tc>
              <w:tc>
                <w:tcPr>
                  <w:tcW w:w="1081" w:type="dxa"/>
                  <w:vAlign w:val="center"/>
                </w:tcPr>
                <w:p>
                  <w:pPr>
                    <w:pStyle w:val="89"/>
                    <w:rPr>
                      <w:rFonts w:cs="Times New Roman"/>
                    </w:rPr>
                  </w:pPr>
                  <w:r>
                    <w:rPr>
                      <w:rFonts w:cs="Times New Roman"/>
                    </w:rPr>
                    <w:t>≤3.0</w:t>
                  </w:r>
                </w:p>
              </w:tc>
              <w:tc>
                <w:tcPr>
                  <w:tcW w:w="1081" w:type="dxa"/>
                  <w:vAlign w:val="center"/>
                </w:tcPr>
                <w:p>
                  <w:pPr>
                    <w:pStyle w:val="89"/>
                    <w:rPr>
                      <w:rFonts w:cs="Times New Roman"/>
                      <w:spacing w:val="-6"/>
                    </w:rPr>
                  </w:pPr>
                  <w:r>
                    <w:rPr>
                      <w:rFonts w:cs="Times New Roman"/>
                    </w:rPr>
                    <w:t>≤1.0</w:t>
                  </w:r>
                </w:p>
              </w:tc>
              <w:tc>
                <w:tcPr>
                  <w:tcW w:w="1081" w:type="dxa"/>
                  <w:vAlign w:val="center"/>
                </w:tcPr>
                <w:p>
                  <w:pPr>
                    <w:pStyle w:val="89"/>
                    <w:rPr>
                      <w:rFonts w:cs="Times New Roman"/>
                    </w:rPr>
                  </w:pPr>
                  <w:r>
                    <w:rPr>
                      <w:rFonts w:cs="Times New Roman"/>
                    </w:rPr>
                    <w:t>≤</w:t>
                  </w:r>
                  <w:r>
                    <w:rPr>
                      <w:rFonts w:cs="Times New Roman"/>
                      <w:spacing w:val="-6"/>
                    </w:rPr>
                    <w:t>3.0</w:t>
                  </w:r>
                </w:p>
              </w:tc>
              <w:tc>
                <w:tcPr>
                  <w:tcW w:w="1081" w:type="dxa"/>
                  <w:vAlign w:val="center"/>
                </w:tcPr>
                <w:p>
                  <w:pPr>
                    <w:pStyle w:val="89"/>
                    <w:rPr>
                      <w:rFonts w:cs="Times New Roman"/>
                    </w:rPr>
                  </w:pPr>
                  <w:r>
                    <w:rPr>
                      <w:rFonts w:cs="Times New Roman"/>
                    </w:rPr>
                    <w:t>≤0.05</w:t>
                  </w:r>
                </w:p>
              </w:tc>
              <w:tc>
                <w:tcPr>
                  <w:tcW w:w="1081" w:type="dxa"/>
                  <w:vAlign w:val="center"/>
                </w:tcPr>
                <w:p>
                  <w:pPr>
                    <w:pStyle w:val="89"/>
                    <w:rPr>
                      <w:rFonts w:cs="Times New Roman"/>
                    </w:rPr>
                  </w:pPr>
                  <w:r>
                    <w:rPr>
                      <w:rFonts w:cs="Times New Roman"/>
                    </w:rPr>
                    <w:t>≤</w:t>
                  </w:r>
                  <w:r>
                    <w:rPr>
                      <w:rFonts w:cs="Times New Roman"/>
                      <w:spacing w:val="-6"/>
                    </w:rPr>
                    <w:t>0.001</w:t>
                  </w:r>
                </w:p>
              </w:tc>
            </w:tr>
          </w:tbl>
          <w:p>
            <w:pPr>
              <w:pStyle w:val="90"/>
            </w:pPr>
            <w:r>
              <w:t>表3-</w:t>
            </w:r>
            <w:r>
              <w:rPr>
                <w:rFonts w:hint="eastAsia"/>
              </w:rPr>
              <w:t>4</w:t>
            </w:r>
            <w:r>
              <w:t>地下水质量标准（GB/T14843-</w:t>
            </w:r>
            <w:r>
              <w:rPr>
                <w:rFonts w:hint="eastAsia"/>
              </w:rPr>
              <w:t>2017</w:t>
            </w:r>
            <w:r>
              <w:t>）</w:t>
            </w:r>
            <w:r>
              <w:rPr>
                <w:rFonts w:hint="eastAsia"/>
              </w:rPr>
              <w:t xml:space="preserve">    </w:t>
            </w:r>
            <w:r>
              <w:t>单位：mg/L（除pH外）</w:t>
            </w:r>
          </w:p>
          <w:tbl>
            <w:tblPr>
              <w:tblStyle w:val="32"/>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870"/>
              <w:gridCol w:w="950"/>
              <w:gridCol w:w="1440"/>
              <w:gridCol w:w="1080"/>
              <w:gridCol w:w="1455"/>
              <w:gridCol w:w="780"/>
              <w:gridCol w:w="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09" w:type="dxa"/>
                  <w:vAlign w:val="center"/>
                </w:tcPr>
                <w:p>
                  <w:pPr>
                    <w:jc w:val="center"/>
                    <w:rPr>
                      <w:szCs w:val="21"/>
                    </w:rPr>
                  </w:pPr>
                  <w:r>
                    <w:rPr>
                      <w:szCs w:val="21"/>
                    </w:rPr>
                    <w:t>污染物</w:t>
                  </w:r>
                </w:p>
              </w:tc>
              <w:tc>
                <w:tcPr>
                  <w:tcW w:w="870" w:type="dxa"/>
                  <w:vAlign w:val="center"/>
                </w:tcPr>
                <w:p>
                  <w:pPr>
                    <w:jc w:val="center"/>
                    <w:rPr>
                      <w:szCs w:val="21"/>
                    </w:rPr>
                  </w:pPr>
                  <w:r>
                    <w:rPr>
                      <w:szCs w:val="21"/>
                    </w:rPr>
                    <w:t>pH</w:t>
                  </w:r>
                </w:p>
              </w:tc>
              <w:tc>
                <w:tcPr>
                  <w:tcW w:w="950" w:type="dxa"/>
                  <w:vAlign w:val="center"/>
                </w:tcPr>
                <w:p>
                  <w:pPr>
                    <w:jc w:val="center"/>
                    <w:rPr>
                      <w:szCs w:val="21"/>
                    </w:rPr>
                  </w:pPr>
                  <w:r>
                    <w:rPr>
                      <w:szCs w:val="21"/>
                    </w:rPr>
                    <w:t>亚硝酸盐氮</w:t>
                  </w:r>
                </w:p>
              </w:tc>
              <w:tc>
                <w:tcPr>
                  <w:tcW w:w="1440" w:type="dxa"/>
                  <w:vAlign w:val="center"/>
                </w:tcPr>
                <w:p>
                  <w:pPr>
                    <w:jc w:val="center"/>
                    <w:rPr>
                      <w:szCs w:val="21"/>
                    </w:rPr>
                  </w:pPr>
                  <w:r>
                    <w:rPr>
                      <w:szCs w:val="21"/>
                    </w:rPr>
                    <w:t>硝酸盐氮</w:t>
                  </w:r>
                </w:p>
              </w:tc>
              <w:tc>
                <w:tcPr>
                  <w:tcW w:w="1080" w:type="dxa"/>
                  <w:vAlign w:val="center"/>
                </w:tcPr>
                <w:p>
                  <w:pPr>
                    <w:jc w:val="center"/>
                    <w:rPr>
                      <w:szCs w:val="21"/>
                    </w:rPr>
                  </w:pPr>
                  <w:r>
                    <w:rPr>
                      <w:szCs w:val="21"/>
                    </w:rPr>
                    <w:t>氨氮</w:t>
                  </w:r>
                </w:p>
              </w:tc>
              <w:tc>
                <w:tcPr>
                  <w:tcW w:w="1455" w:type="dxa"/>
                  <w:vAlign w:val="center"/>
                </w:tcPr>
                <w:p>
                  <w:pPr>
                    <w:jc w:val="center"/>
                    <w:rPr>
                      <w:szCs w:val="21"/>
                    </w:rPr>
                  </w:pPr>
                  <w:r>
                    <w:rPr>
                      <w:rFonts w:hint="eastAsia"/>
                      <w:szCs w:val="21"/>
                      <w:lang w:val="en-US" w:eastAsia="zh-CN"/>
                    </w:rPr>
                    <w:t>菌落总数</w:t>
                  </w:r>
                  <w:r>
                    <w:rPr>
                      <w:szCs w:val="21"/>
                    </w:rPr>
                    <w:t>(</w:t>
                  </w:r>
                  <w:r>
                    <w:rPr>
                      <w:rFonts w:hint="eastAsia"/>
                      <w:szCs w:val="21"/>
                    </w:rPr>
                    <w:t>CFU</w:t>
                  </w:r>
                  <w:r>
                    <w:rPr>
                      <w:szCs w:val="21"/>
                    </w:rPr>
                    <w:t>/</w:t>
                  </w:r>
                  <w:r>
                    <w:rPr>
                      <w:rFonts w:hint="eastAsia"/>
                      <w:szCs w:val="21"/>
                      <w:lang w:val="en-US" w:eastAsia="zh-CN"/>
                    </w:rPr>
                    <w:t>m</w:t>
                  </w:r>
                  <w:r>
                    <w:rPr>
                      <w:szCs w:val="21"/>
                    </w:rPr>
                    <w:t>L)</w:t>
                  </w:r>
                </w:p>
              </w:tc>
              <w:tc>
                <w:tcPr>
                  <w:tcW w:w="780" w:type="dxa"/>
                  <w:vAlign w:val="center"/>
                </w:tcPr>
                <w:p>
                  <w:pPr>
                    <w:jc w:val="center"/>
                    <w:rPr>
                      <w:szCs w:val="21"/>
                    </w:rPr>
                  </w:pPr>
                  <w:r>
                    <w:rPr>
                      <w:szCs w:val="21"/>
                    </w:rPr>
                    <w:t>Fe</w:t>
                  </w:r>
                </w:p>
              </w:tc>
              <w:tc>
                <w:tcPr>
                  <w:tcW w:w="866" w:type="dxa"/>
                  <w:vAlign w:val="center"/>
                </w:tcPr>
                <w:p>
                  <w:pPr>
                    <w:jc w:val="center"/>
                    <w:rPr>
                      <w:szCs w:val="21"/>
                    </w:rPr>
                  </w:pPr>
                  <w:r>
                    <w:rPr>
                      <w:szCs w:val="21"/>
                    </w:rPr>
                    <w:t>Mn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09" w:type="dxa"/>
                  <w:vAlign w:val="center"/>
                </w:tcPr>
                <w:p>
                  <w:pPr>
                    <w:jc w:val="center"/>
                    <w:rPr>
                      <w:szCs w:val="21"/>
                    </w:rPr>
                  </w:pPr>
                  <w:r>
                    <w:rPr>
                      <w:szCs w:val="21"/>
                    </w:rPr>
                    <w:t>标准值</w:t>
                  </w:r>
                </w:p>
              </w:tc>
              <w:tc>
                <w:tcPr>
                  <w:tcW w:w="870" w:type="dxa"/>
                  <w:vAlign w:val="center"/>
                </w:tcPr>
                <w:p>
                  <w:pPr>
                    <w:jc w:val="center"/>
                    <w:rPr>
                      <w:szCs w:val="21"/>
                    </w:rPr>
                  </w:pPr>
                  <w:r>
                    <w:rPr>
                      <w:szCs w:val="21"/>
                    </w:rPr>
                    <w:t>6.5-8.5</w:t>
                  </w:r>
                </w:p>
              </w:tc>
              <w:tc>
                <w:tcPr>
                  <w:tcW w:w="950" w:type="dxa"/>
                  <w:vAlign w:val="center"/>
                </w:tcPr>
                <w:p>
                  <w:pPr>
                    <w:jc w:val="center"/>
                    <w:rPr>
                      <w:szCs w:val="21"/>
                    </w:rPr>
                  </w:pPr>
                  <w:r>
                    <w:rPr>
                      <w:szCs w:val="21"/>
                    </w:rPr>
                    <w:t>≤</w:t>
                  </w:r>
                  <w:r>
                    <w:rPr>
                      <w:rFonts w:hint="eastAsia"/>
                      <w:szCs w:val="21"/>
                    </w:rPr>
                    <w:t>1</w:t>
                  </w:r>
                </w:p>
              </w:tc>
              <w:tc>
                <w:tcPr>
                  <w:tcW w:w="1440" w:type="dxa"/>
                  <w:vAlign w:val="center"/>
                </w:tcPr>
                <w:p>
                  <w:pPr>
                    <w:jc w:val="center"/>
                    <w:rPr>
                      <w:szCs w:val="21"/>
                    </w:rPr>
                  </w:pPr>
                  <w:r>
                    <w:rPr>
                      <w:szCs w:val="21"/>
                    </w:rPr>
                    <w:t>≤20</w:t>
                  </w:r>
                </w:p>
              </w:tc>
              <w:tc>
                <w:tcPr>
                  <w:tcW w:w="1080" w:type="dxa"/>
                  <w:vAlign w:val="center"/>
                </w:tcPr>
                <w:p>
                  <w:pPr>
                    <w:jc w:val="center"/>
                    <w:rPr>
                      <w:szCs w:val="21"/>
                    </w:rPr>
                  </w:pPr>
                  <w:r>
                    <w:rPr>
                      <w:szCs w:val="21"/>
                    </w:rPr>
                    <w:t>≤0.</w:t>
                  </w:r>
                  <w:r>
                    <w:rPr>
                      <w:rFonts w:hint="eastAsia"/>
                      <w:szCs w:val="21"/>
                    </w:rPr>
                    <w:t>5</w:t>
                  </w:r>
                </w:p>
              </w:tc>
              <w:tc>
                <w:tcPr>
                  <w:tcW w:w="1455" w:type="dxa"/>
                  <w:vAlign w:val="center"/>
                </w:tcPr>
                <w:p>
                  <w:pPr>
                    <w:jc w:val="center"/>
                    <w:rPr>
                      <w:szCs w:val="21"/>
                    </w:rPr>
                  </w:pPr>
                  <w:r>
                    <w:rPr>
                      <w:szCs w:val="21"/>
                    </w:rPr>
                    <w:t>≤100</w:t>
                  </w:r>
                </w:p>
              </w:tc>
              <w:tc>
                <w:tcPr>
                  <w:tcW w:w="780" w:type="dxa"/>
                  <w:vAlign w:val="center"/>
                </w:tcPr>
                <w:p>
                  <w:pPr>
                    <w:jc w:val="center"/>
                    <w:rPr>
                      <w:szCs w:val="21"/>
                    </w:rPr>
                  </w:pPr>
                  <w:r>
                    <w:rPr>
                      <w:szCs w:val="21"/>
                    </w:rPr>
                    <w:t>≤0.3</w:t>
                  </w:r>
                </w:p>
              </w:tc>
              <w:tc>
                <w:tcPr>
                  <w:tcW w:w="866" w:type="dxa"/>
                  <w:vAlign w:val="center"/>
                </w:tcPr>
                <w:p>
                  <w:pPr>
                    <w:jc w:val="center"/>
                    <w:rPr>
                      <w:szCs w:val="21"/>
                    </w:rPr>
                  </w:pPr>
                  <w:r>
                    <w:rPr>
                      <w:szCs w:val="21"/>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09" w:type="dxa"/>
                  <w:vAlign w:val="center"/>
                </w:tcPr>
                <w:p>
                  <w:pPr>
                    <w:jc w:val="center"/>
                    <w:rPr>
                      <w:szCs w:val="21"/>
                    </w:rPr>
                  </w:pPr>
                  <w:r>
                    <w:rPr>
                      <w:szCs w:val="21"/>
                    </w:rPr>
                    <w:t>污染物</w:t>
                  </w:r>
                </w:p>
              </w:tc>
              <w:tc>
                <w:tcPr>
                  <w:tcW w:w="870" w:type="dxa"/>
                  <w:vAlign w:val="center"/>
                </w:tcPr>
                <w:p>
                  <w:pPr>
                    <w:jc w:val="center"/>
                    <w:rPr>
                      <w:szCs w:val="21"/>
                    </w:rPr>
                  </w:pPr>
                  <w:r>
                    <w:rPr>
                      <w:szCs w:val="21"/>
                    </w:rPr>
                    <w:t>硫酸盐</w:t>
                  </w:r>
                </w:p>
              </w:tc>
              <w:tc>
                <w:tcPr>
                  <w:tcW w:w="950" w:type="dxa"/>
                  <w:vAlign w:val="center"/>
                </w:tcPr>
                <w:p>
                  <w:pPr>
                    <w:jc w:val="center"/>
                    <w:rPr>
                      <w:szCs w:val="21"/>
                    </w:rPr>
                  </w:pPr>
                  <w:r>
                    <w:rPr>
                      <w:szCs w:val="21"/>
                    </w:rPr>
                    <w:t>总硬度</w:t>
                  </w:r>
                </w:p>
              </w:tc>
              <w:tc>
                <w:tcPr>
                  <w:tcW w:w="1440" w:type="dxa"/>
                  <w:vAlign w:val="center"/>
                </w:tcPr>
                <w:p>
                  <w:pPr>
                    <w:jc w:val="center"/>
                    <w:rPr>
                      <w:rFonts w:hint="eastAsia" w:eastAsia="宋体"/>
                      <w:szCs w:val="21"/>
                      <w:lang w:eastAsia="zh-CN"/>
                    </w:rPr>
                  </w:pPr>
                  <w:r>
                    <w:rPr>
                      <w:rFonts w:hint="eastAsia"/>
                      <w:szCs w:val="21"/>
                      <w:lang w:val="en-US" w:eastAsia="zh-CN"/>
                    </w:rPr>
                    <w:t>耗氧量（COD</w:t>
                  </w:r>
                  <w:r>
                    <w:rPr>
                      <w:rFonts w:hint="eastAsia"/>
                      <w:szCs w:val="21"/>
                      <w:vertAlign w:val="subscript"/>
                      <w:lang w:val="en-US" w:eastAsia="zh-CN"/>
                    </w:rPr>
                    <w:t>Mn</w:t>
                  </w:r>
                  <w:r>
                    <w:rPr>
                      <w:rFonts w:hint="eastAsia"/>
                      <w:szCs w:val="21"/>
                      <w:lang w:val="en-US" w:eastAsia="zh-CN"/>
                    </w:rPr>
                    <w:t>法，以O</w:t>
                  </w:r>
                  <w:r>
                    <w:rPr>
                      <w:rFonts w:hint="eastAsia"/>
                      <w:szCs w:val="21"/>
                      <w:vertAlign w:val="subscript"/>
                      <w:lang w:val="en-US" w:eastAsia="zh-CN"/>
                    </w:rPr>
                    <w:t>2</w:t>
                  </w:r>
                  <w:r>
                    <w:rPr>
                      <w:rFonts w:hint="eastAsia"/>
                      <w:szCs w:val="21"/>
                      <w:lang w:val="en-US" w:eastAsia="zh-CN"/>
                    </w:rPr>
                    <w:t>计）</w:t>
                  </w:r>
                </w:p>
              </w:tc>
              <w:tc>
                <w:tcPr>
                  <w:tcW w:w="1080" w:type="dxa"/>
                  <w:vAlign w:val="center"/>
                </w:tcPr>
                <w:p>
                  <w:pPr>
                    <w:jc w:val="center"/>
                    <w:rPr>
                      <w:szCs w:val="21"/>
                    </w:rPr>
                  </w:pPr>
                  <w:r>
                    <w:rPr>
                      <w:szCs w:val="21"/>
                    </w:rPr>
                    <w:t>氟化物</w:t>
                  </w:r>
                </w:p>
              </w:tc>
              <w:tc>
                <w:tcPr>
                  <w:tcW w:w="1455" w:type="dxa"/>
                  <w:vAlign w:val="center"/>
                </w:tcPr>
                <w:p>
                  <w:pPr>
                    <w:jc w:val="center"/>
                    <w:rPr>
                      <w:szCs w:val="21"/>
                    </w:rPr>
                  </w:pPr>
                  <w:r>
                    <w:rPr>
                      <w:szCs w:val="21"/>
                    </w:rPr>
                    <w:t>总大肠菌群</w:t>
                  </w:r>
                </w:p>
                <w:p>
                  <w:pPr>
                    <w:jc w:val="center"/>
                    <w:rPr>
                      <w:szCs w:val="21"/>
                    </w:rPr>
                  </w:pPr>
                  <w:r>
                    <w:rPr>
                      <w:szCs w:val="21"/>
                    </w:rPr>
                    <w:t>(</w:t>
                  </w:r>
                  <w:r>
                    <w:rPr>
                      <w:rFonts w:hint="eastAsia"/>
                      <w:szCs w:val="21"/>
                      <w:lang w:val="en-US" w:eastAsia="zh-CN"/>
                    </w:rPr>
                    <w:t>CFU</w:t>
                  </w:r>
                  <w:r>
                    <w:rPr>
                      <w:szCs w:val="21"/>
                    </w:rPr>
                    <w:t>/</w:t>
                  </w:r>
                  <w:r>
                    <w:rPr>
                      <w:rFonts w:hint="eastAsia"/>
                      <w:szCs w:val="21"/>
                      <w:lang w:val="en-US" w:eastAsia="zh-CN"/>
                    </w:rPr>
                    <w:t>100m</w:t>
                  </w:r>
                  <w:r>
                    <w:rPr>
                      <w:szCs w:val="21"/>
                    </w:rPr>
                    <w:t>L)</w:t>
                  </w:r>
                </w:p>
              </w:tc>
              <w:tc>
                <w:tcPr>
                  <w:tcW w:w="780" w:type="dxa"/>
                  <w:vAlign w:val="center"/>
                </w:tcPr>
                <w:p>
                  <w:pPr>
                    <w:jc w:val="center"/>
                    <w:rPr>
                      <w:szCs w:val="21"/>
                    </w:rPr>
                  </w:pPr>
                  <w:r>
                    <w:rPr>
                      <w:szCs w:val="21"/>
                    </w:rPr>
                    <w:t>As</w:t>
                  </w:r>
                </w:p>
              </w:tc>
              <w:tc>
                <w:tcPr>
                  <w:tcW w:w="866" w:type="dxa"/>
                  <w:vAlign w:val="center"/>
                </w:tcPr>
                <w:p>
                  <w:pPr>
                    <w:jc w:val="center"/>
                    <w:rPr>
                      <w:szCs w:val="21"/>
                    </w:rPr>
                  </w:pPr>
                  <w:r>
                    <w:rPr>
                      <w:szCs w:val="21"/>
                    </w:rPr>
                    <w:t>Hg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09" w:type="dxa"/>
                  <w:vAlign w:val="center"/>
                </w:tcPr>
                <w:p>
                  <w:pPr>
                    <w:jc w:val="center"/>
                    <w:rPr>
                      <w:szCs w:val="21"/>
                    </w:rPr>
                  </w:pPr>
                  <w:r>
                    <w:rPr>
                      <w:szCs w:val="21"/>
                    </w:rPr>
                    <w:t>标准值</w:t>
                  </w:r>
                </w:p>
              </w:tc>
              <w:tc>
                <w:tcPr>
                  <w:tcW w:w="870" w:type="dxa"/>
                  <w:vAlign w:val="center"/>
                </w:tcPr>
                <w:p>
                  <w:pPr>
                    <w:jc w:val="center"/>
                    <w:rPr>
                      <w:szCs w:val="21"/>
                    </w:rPr>
                  </w:pPr>
                  <w:r>
                    <w:rPr>
                      <w:szCs w:val="21"/>
                    </w:rPr>
                    <w:t>≤250</w:t>
                  </w:r>
                </w:p>
              </w:tc>
              <w:tc>
                <w:tcPr>
                  <w:tcW w:w="950" w:type="dxa"/>
                  <w:vAlign w:val="center"/>
                </w:tcPr>
                <w:p>
                  <w:pPr>
                    <w:jc w:val="center"/>
                    <w:rPr>
                      <w:szCs w:val="21"/>
                    </w:rPr>
                  </w:pPr>
                  <w:r>
                    <w:rPr>
                      <w:szCs w:val="21"/>
                    </w:rPr>
                    <w:t>≤450</w:t>
                  </w:r>
                </w:p>
              </w:tc>
              <w:tc>
                <w:tcPr>
                  <w:tcW w:w="1440" w:type="dxa"/>
                  <w:vAlign w:val="center"/>
                </w:tcPr>
                <w:p>
                  <w:pPr>
                    <w:jc w:val="center"/>
                    <w:rPr>
                      <w:szCs w:val="21"/>
                    </w:rPr>
                  </w:pPr>
                  <w:r>
                    <w:rPr>
                      <w:rFonts w:cs="Times New Roman"/>
                    </w:rPr>
                    <w:t>≤3.0</w:t>
                  </w:r>
                </w:p>
              </w:tc>
              <w:tc>
                <w:tcPr>
                  <w:tcW w:w="1080" w:type="dxa"/>
                  <w:vAlign w:val="center"/>
                </w:tcPr>
                <w:p>
                  <w:pPr>
                    <w:jc w:val="center"/>
                    <w:rPr>
                      <w:szCs w:val="21"/>
                    </w:rPr>
                  </w:pPr>
                  <w:r>
                    <w:rPr>
                      <w:szCs w:val="21"/>
                    </w:rPr>
                    <w:t>≤1.0</w:t>
                  </w:r>
                </w:p>
              </w:tc>
              <w:tc>
                <w:tcPr>
                  <w:tcW w:w="1455" w:type="dxa"/>
                  <w:vAlign w:val="center"/>
                </w:tcPr>
                <w:p>
                  <w:pPr>
                    <w:jc w:val="center"/>
                    <w:rPr>
                      <w:szCs w:val="21"/>
                    </w:rPr>
                  </w:pPr>
                  <w:r>
                    <w:rPr>
                      <w:szCs w:val="21"/>
                    </w:rPr>
                    <w:t>≤3</w:t>
                  </w:r>
                </w:p>
              </w:tc>
              <w:tc>
                <w:tcPr>
                  <w:tcW w:w="780" w:type="dxa"/>
                  <w:vAlign w:val="center"/>
                </w:tcPr>
                <w:p>
                  <w:pPr>
                    <w:jc w:val="center"/>
                    <w:rPr>
                      <w:szCs w:val="21"/>
                    </w:rPr>
                  </w:pPr>
                  <w:r>
                    <w:rPr>
                      <w:szCs w:val="21"/>
                    </w:rPr>
                    <w:t>≤0.0</w:t>
                  </w:r>
                  <w:r>
                    <w:rPr>
                      <w:rFonts w:hint="eastAsia"/>
                      <w:szCs w:val="21"/>
                    </w:rPr>
                    <w:t>1</w:t>
                  </w:r>
                </w:p>
              </w:tc>
              <w:tc>
                <w:tcPr>
                  <w:tcW w:w="866" w:type="dxa"/>
                  <w:vAlign w:val="center"/>
                </w:tcPr>
                <w:p>
                  <w:pPr>
                    <w:jc w:val="center"/>
                    <w:rPr>
                      <w:szCs w:val="21"/>
                    </w:rPr>
                  </w:pPr>
                  <w:r>
                    <w:rPr>
                      <w:szCs w:val="21"/>
                    </w:rPr>
                    <w:t>≤0.001</w:t>
                  </w:r>
                </w:p>
              </w:tc>
            </w:tr>
          </w:tbl>
          <w:p>
            <w:pPr>
              <w:pStyle w:val="86"/>
              <w:ind w:firstLine="480"/>
              <w:rPr>
                <w:rFonts w:cs="Times New Roman"/>
                <w:bCs/>
              </w:rPr>
            </w:pPr>
            <w:r>
              <w:rPr>
                <w:rFonts w:cs="Times New Roman"/>
                <w:bCs/>
              </w:rPr>
              <w:t>4、声环境</w:t>
            </w:r>
          </w:p>
          <w:p>
            <w:pPr>
              <w:pStyle w:val="86"/>
              <w:ind w:firstLine="480"/>
              <w:rPr>
                <w:rFonts w:cs="Times New Roman"/>
              </w:rPr>
            </w:pPr>
            <w:r>
              <w:rPr>
                <w:rFonts w:hint="eastAsia" w:cs="Times New Roman"/>
              </w:rPr>
              <w:t>声环境</w:t>
            </w:r>
            <w:r>
              <w:rPr>
                <w:rFonts w:cs="Times New Roman"/>
              </w:rPr>
              <w:t>执行《声环境质量标准》（GB3096-2008）中</w:t>
            </w:r>
            <w:r>
              <w:rPr>
                <w:rFonts w:hint="eastAsia" w:cs="Times New Roman"/>
              </w:rPr>
              <w:t>2</w:t>
            </w:r>
            <w:r>
              <w:rPr>
                <w:rFonts w:cs="Times New Roman"/>
              </w:rPr>
              <w:t>类</w:t>
            </w:r>
            <w:r>
              <w:rPr>
                <w:rFonts w:hint="eastAsia" w:cs="Times New Roman"/>
              </w:rPr>
              <w:t>区</w:t>
            </w:r>
            <w:r>
              <w:rPr>
                <w:rFonts w:cs="Times New Roman"/>
              </w:rPr>
              <w:t>标准。</w:t>
            </w:r>
          </w:p>
          <w:p>
            <w:pPr>
              <w:pStyle w:val="90"/>
            </w:pPr>
            <w:r>
              <w:rPr>
                <w:lang w:val="zh-CN"/>
              </w:rPr>
              <w:t>表</w:t>
            </w:r>
            <w:r>
              <w:t>3-</w:t>
            </w:r>
            <w:r>
              <w:rPr>
                <w:rFonts w:hint="eastAsia"/>
                <w:lang w:val="en-US" w:eastAsia="zh-CN"/>
              </w:rPr>
              <w:t>5</w:t>
            </w:r>
            <w:r>
              <w:t>声环境质量标准单位：dB(A)</w:t>
            </w:r>
          </w:p>
          <w:tbl>
            <w:tblPr>
              <w:tblStyle w:val="32"/>
              <w:tblW w:w="8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4"/>
              <w:gridCol w:w="1667"/>
              <w:gridCol w:w="705"/>
              <w:gridCol w:w="2405"/>
              <w:gridCol w:w="778"/>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14" w:type="dxa"/>
                  <w:vMerge w:val="restart"/>
                  <w:vAlign w:val="center"/>
                </w:tcPr>
                <w:p>
                  <w:pPr>
                    <w:pStyle w:val="61"/>
                    <w:spacing w:line="240" w:lineRule="exact"/>
                    <w:ind w:hanging="34"/>
                    <w:rPr>
                      <w:rFonts w:ascii="Times New Roman"/>
                      <w:color w:val="auto"/>
                    </w:rPr>
                  </w:pPr>
                  <w:r>
                    <w:rPr>
                      <w:rFonts w:ascii="Times New Roman"/>
                      <w:color w:val="auto"/>
                    </w:rPr>
                    <w:t>标准名称</w:t>
                  </w:r>
                </w:p>
              </w:tc>
              <w:tc>
                <w:tcPr>
                  <w:tcW w:w="1667" w:type="dxa"/>
                  <w:vMerge w:val="restart"/>
                  <w:vAlign w:val="center"/>
                </w:tcPr>
                <w:p>
                  <w:pPr>
                    <w:pStyle w:val="61"/>
                    <w:spacing w:line="240" w:lineRule="exact"/>
                    <w:ind w:hanging="34"/>
                    <w:rPr>
                      <w:rFonts w:ascii="Times New Roman"/>
                      <w:color w:val="auto"/>
                    </w:rPr>
                  </w:pPr>
                  <w:r>
                    <w:rPr>
                      <w:rFonts w:ascii="Times New Roman"/>
                      <w:color w:val="auto"/>
                    </w:rPr>
                    <w:t>标准号</w:t>
                  </w:r>
                </w:p>
              </w:tc>
              <w:tc>
                <w:tcPr>
                  <w:tcW w:w="705" w:type="dxa"/>
                  <w:vMerge w:val="restart"/>
                  <w:vAlign w:val="center"/>
                </w:tcPr>
                <w:p>
                  <w:pPr>
                    <w:pStyle w:val="61"/>
                    <w:spacing w:line="240" w:lineRule="exact"/>
                    <w:ind w:hanging="34"/>
                    <w:rPr>
                      <w:rFonts w:ascii="Times New Roman"/>
                      <w:color w:val="auto"/>
                    </w:rPr>
                  </w:pPr>
                  <w:r>
                    <w:rPr>
                      <w:rFonts w:ascii="Times New Roman"/>
                      <w:color w:val="auto"/>
                    </w:rPr>
                    <w:t>级别</w:t>
                  </w:r>
                </w:p>
              </w:tc>
              <w:tc>
                <w:tcPr>
                  <w:tcW w:w="2405" w:type="dxa"/>
                  <w:vMerge w:val="restart"/>
                  <w:vAlign w:val="center"/>
                </w:tcPr>
                <w:p>
                  <w:pPr>
                    <w:pStyle w:val="61"/>
                    <w:spacing w:line="240" w:lineRule="exact"/>
                    <w:ind w:hanging="34"/>
                    <w:rPr>
                      <w:rFonts w:ascii="Times New Roman"/>
                      <w:color w:val="auto"/>
                    </w:rPr>
                  </w:pPr>
                  <w:r>
                    <w:rPr>
                      <w:rFonts w:ascii="Times New Roman"/>
                      <w:color w:val="auto"/>
                    </w:rPr>
                    <w:t>评价因子</w:t>
                  </w:r>
                </w:p>
              </w:tc>
              <w:tc>
                <w:tcPr>
                  <w:tcW w:w="1554" w:type="dxa"/>
                  <w:gridSpan w:val="2"/>
                  <w:vAlign w:val="center"/>
                </w:tcPr>
                <w:p>
                  <w:pPr>
                    <w:pStyle w:val="61"/>
                    <w:spacing w:line="240" w:lineRule="exact"/>
                    <w:ind w:hanging="34"/>
                    <w:rPr>
                      <w:rFonts w:ascii="Times New Roman"/>
                      <w:color w:val="auto"/>
                    </w:rPr>
                  </w:pPr>
                  <w:r>
                    <w:rPr>
                      <w:rFonts w:ascii="Times New Roman"/>
                      <w:color w:val="auto"/>
                    </w:rPr>
                    <w:t>标准值[dB(A)]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14" w:type="dxa"/>
                  <w:vMerge w:val="continue"/>
                  <w:vAlign w:val="center"/>
                </w:tcPr>
                <w:p>
                  <w:pPr>
                    <w:pStyle w:val="61"/>
                    <w:spacing w:line="240" w:lineRule="exact"/>
                    <w:ind w:hanging="34"/>
                    <w:rPr>
                      <w:rFonts w:ascii="Times New Roman"/>
                      <w:color w:val="auto"/>
                    </w:rPr>
                  </w:pPr>
                </w:p>
              </w:tc>
              <w:tc>
                <w:tcPr>
                  <w:tcW w:w="1667" w:type="dxa"/>
                  <w:vMerge w:val="continue"/>
                  <w:vAlign w:val="center"/>
                </w:tcPr>
                <w:p>
                  <w:pPr>
                    <w:pStyle w:val="61"/>
                    <w:spacing w:line="240" w:lineRule="exact"/>
                    <w:ind w:hanging="34"/>
                    <w:rPr>
                      <w:rFonts w:ascii="Times New Roman"/>
                      <w:color w:val="auto"/>
                    </w:rPr>
                  </w:pPr>
                </w:p>
              </w:tc>
              <w:tc>
                <w:tcPr>
                  <w:tcW w:w="705" w:type="dxa"/>
                  <w:vMerge w:val="continue"/>
                  <w:vAlign w:val="center"/>
                </w:tcPr>
                <w:p>
                  <w:pPr>
                    <w:pStyle w:val="61"/>
                    <w:spacing w:line="240" w:lineRule="exact"/>
                    <w:ind w:hanging="34"/>
                    <w:rPr>
                      <w:rFonts w:ascii="Times New Roman"/>
                      <w:color w:val="auto"/>
                    </w:rPr>
                  </w:pPr>
                </w:p>
              </w:tc>
              <w:tc>
                <w:tcPr>
                  <w:tcW w:w="2405" w:type="dxa"/>
                  <w:vMerge w:val="continue"/>
                  <w:vAlign w:val="center"/>
                </w:tcPr>
                <w:p>
                  <w:pPr>
                    <w:pStyle w:val="61"/>
                    <w:spacing w:line="240" w:lineRule="exact"/>
                    <w:ind w:hanging="34"/>
                    <w:rPr>
                      <w:rFonts w:ascii="Times New Roman"/>
                      <w:color w:val="auto"/>
                    </w:rPr>
                  </w:pPr>
                </w:p>
              </w:tc>
              <w:tc>
                <w:tcPr>
                  <w:tcW w:w="778" w:type="dxa"/>
                  <w:vAlign w:val="center"/>
                </w:tcPr>
                <w:p>
                  <w:pPr>
                    <w:pStyle w:val="61"/>
                    <w:spacing w:line="240" w:lineRule="exact"/>
                    <w:ind w:hanging="34"/>
                    <w:rPr>
                      <w:rFonts w:ascii="Times New Roman"/>
                      <w:color w:val="auto"/>
                    </w:rPr>
                  </w:pPr>
                  <w:r>
                    <w:rPr>
                      <w:rFonts w:ascii="Times New Roman"/>
                      <w:color w:val="auto"/>
                    </w:rPr>
                    <w:t>昼间</w:t>
                  </w:r>
                </w:p>
              </w:tc>
              <w:tc>
                <w:tcPr>
                  <w:tcW w:w="776" w:type="dxa"/>
                  <w:vAlign w:val="center"/>
                </w:tcPr>
                <w:p>
                  <w:pPr>
                    <w:pStyle w:val="61"/>
                    <w:spacing w:line="240" w:lineRule="exact"/>
                    <w:ind w:hanging="34"/>
                    <w:rPr>
                      <w:rFonts w:ascii="Times New Roman"/>
                      <w:color w:val="auto"/>
                    </w:rPr>
                  </w:pPr>
                  <w:r>
                    <w:rPr>
                      <w:rFonts w:ascii="Times New Roman"/>
                      <w:color w:val="auto"/>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314" w:type="dxa"/>
                  <w:vAlign w:val="center"/>
                </w:tcPr>
                <w:p>
                  <w:pPr>
                    <w:pStyle w:val="61"/>
                    <w:spacing w:line="240" w:lineRule="exact"/>
                    <w:ind w:hanging="34"/>
                    <w:rPr>
                      <w:rFonts w:ascii="Times New Roman"/>
                      <w:color w:val="auto"/>
                    </w:rPr>
                  </w:pPr>
                  <w:r>
                    <w:rPr>
                      <w:rFonts w:ascii="Times New Roman"/>
                      <w:color w:val="auto"/>
                    </w:rPr>
                    <w:t>《声环境质量标准》</w:t>
                  </w:r>
                </w:p>
              </w:tc>
              <w:tc>
                <w:tcPr>
                  <w:tcW w:w="1667" w:type="dxa"/>
                  <w:vAlign w:val="center"/>
                </w:tcPr>
                <w:p>
                  <w:pPr>
                    <w:pStyle w:val="61"/>
                    <w:spacing w:line="240" w:lineRule="exact"/>
                    <w:ind w:hanging="34"/>
                    <w:rPr>
                      <w:rFonts w:ascii="Times New Roman"/>
                      <w:color w:val="auto"/>
                    </w:rPr>
                  </w:pPr>
                  <w:r>
                    <w:rPr>
                      <w:rFonts w:ascii="Times New Roman"/>
                      <w:color w:val="auto"/>
                    </w:rPr>
                    <w:t>GB3096-2008</w:t>
                  </w:r>
                </w:p>
              </w:tc>
              <w:tc>
                <w:tcPr>
                  <w:tcW w:w="705" w:type="dxa"/>
                  <w:vAlign w:val="center"/>
                </w:tcPr>
                <w:p>
                  <w:pPr>
                    <w:pStyle w:val="61"/>
                    <w:spacing w:line="240" w:lineRule="exact"/>
                    <w:ind w:hanging="34"/>
                    <w:rPr>
                      <w:rFonts w:ascii="Times New Roman"/>
                      <w:color w:val="auto"/>
                    </w:rPr>
                  </w:pPr>
                  <w:r>
                    <w:rPr>
                      <w:rFonts w:hint="eastAsia" w:ascii="Times New Roman"/>
                      <w:color w:val="auto"/>
                    </w:rPr>
                    <w:t>2</w:t>
                  </w:r>
                  <w:r>
                    <w:rPr>
                      <w:rFonts w:ascii="Times New Roman"/>
                      <w:color w:val="auto"/>
                    </w:rPr>
                    <w:t>类</w:t>
                  </w:r>
                </w:p>
              </w:tc>
              <w:tc>
                <w:tcPr>
                  <w:tcW w:w="2405" w:type="dxa"/>
                  <w:vAlign w:val="center"/>
                </w:tcPr>
                <w:p>
                  <w:pPr>
                    <w:pStyle w:val="61"/>
                    <w:spacing w:line="240" w:lineRule="exact"/>
                    <w:ind w:hanging="34"/>
                    <w:rPr>
                      <w:rFonts w:ascii="Times New Roman"/>
                      <w:color w:val="auto"/>
                    </w:rPr>
                  </w:pPr>
                  <w:r>
                    <w:rPr>
                      <w:rFonts w:ascii="Times New Roman"/>
                      <w:color w:val="auto"/>
                    </w:rPr>
                    <w:t>等效声级Leq[d(A)]</w:t>
                  </w:r>
                </w:p>
              </w:tc>
              <w:tc>
                <w:tcPr>
                  <w:tcW w:w="778" w:type="dxa"/>
                  <w:vAlign w:val="center"/>
                </w:tcPr>
                <w:p>
                  <w:pPr>
                    <w:pStyle w:val="61"/>
                    <w:spacing w:line="240" w:lineRule="exact"/>
                    <w:ind w:hanging="34"/>
                    <w:rPr>
                      <w:rFonts w:ascii="Times New Roman"/>
                      <w:color w:val="auto"/>
                    </w:rPr>
                  </w:pPr>
                  <w:r>
                    <w:rPr>
                      <w:rFonts w:hint="eastAsia" w:ascii="Times New Roman"/>
                      <w:color w:val="auto"/>
                    </w:rPr>
                    <w:t>60</w:t>
                  </w:r>
                </w:p>
              </w:tc>
              <w:tc>
                <w:tcPr>
                  <w:tcW w:w="776" w:type="dxa"/>
                  <w:vAlign w:val="center"/>
                </w:tcPr>
                <w:p>
                  <w:pPr>
                    <w:pStyle w:val="61"/>
                    <w:spacing w:line="240" w:lineRule="exact"/>
                    <w:ind w:hanging="34"/>
                    <w:rPr>
                      <w:rFonts w:ascii="Times New Roman"/>
                      <w:color w:val="auto"/>
                    </w:rPr>
                  </w:pPr>
                  <w:r>
                    <w:rPr>
                      <w:rFonts w:hint="eastAsia" w:ascii="Times New Roman"/>
                      <w:color w:val="auto"/>
                    </w:rPr>
                    <w:t>50</w:t>
                  </w:r>
                </w:p>
              </w:tc>
            </w:tr>
          </w:tbl>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6" w:hRule="atLeast"/>
        </w:trPr>
        <w:tc>
          <w:tcPr>
            <w:tcW w:w="522" w:type="dxa"/>
            <w:vAlign w:val="center"/>
          </w:tcPr>
          <w:p>
            <w:pPr>
              <w:spacing w:line="360" w:lineRule="exact"/>
              <w:jc w:val="center"/>
              <w:rPr>
                <w:sz w:val="24"/>
              </w:rPr>
            </w:pPr>
            <w:r>
              <w:rPr>
                <w:sz w:val="24"/>
              </w:rPr>
              <w:t>污染物排放标准</w:t>
            </w:r>
          </w:p>
        </w:tc>
        <w:tc>
          <w:tcPr>
            <w:tcW w:w="8871" w:type="dxa"/>
          </w:tcPr>
          <w:p>
            <w:pPr>
              <w:pStyle w:val="86"/>
              <w:ind w:firstLine="480"/>
              <w:rPr>
                <w:rFonts w:cs="Times New Roman"/>
              </w:rPr>
            </w:pPr>
            <w:r>
              <w:rPr>
                <w:rFonts w:cs="Times New Roman"/>
              </w:rPr>
              <w:t>1、大气污染物：执行《大气污染物综合排放标准》（GB16297-1996）表2中二级标准。</w:t>
            </w:r>
          </w:p>
          <w:p>
            <w:pPr>
              <w:pStyle w:val="90"/>
              <w:spacing w:line="240" w:lineRule="auto"/>
              <w:rPr>
                <w:sz w:val="24"/>
              </w:rPr>
            </w:pPr>
            <w:r>
              <w:t>表3-</w:t>
            </w:r>
            <w:r>
              <w:rPr>
                <w:rFonts w:hint="eastAsia"/>
                <w:lang w:val="en-US" w:eastAsia="zh-CN"/>
              </w:rPr>
              <w:t>6</w:t>
            </w:r>
            <w:r>
              <w:t>大气污染物综合排放标准</w:t>
            </w:r>
          </w:p>
          <w:tbl>
            <w:tblPr>
              <w:tblStyle w:val="32"/>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85"/>
              <w:gridCol w:w="858"/>
              <w:gridCol w:w="1132"/>
              <w:gridCol w:w="2495"/>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685" w:type="dxa"/>
                  <w:vMerge w:val="restart"/>
                  <w:vAlign w:val="center"/>
                </w:tcPr>
                <w:p>
                  <w:pPr>
                    <w:pStyle w:val="89"/>
                    <w:rPr>
                      <w:rFonts w:cs="Times New Roman"/>
                    </w:rPr>
                  </w:pPr>
                  <w:r>
                    <w:rPr>
                      <w:rFonts w:cs="Times New Roman"/>
                    </w:rPr>
                    <w:t>GB16297</w:t>
                  </w:r>
                </w:p>
                <w:p>
                  <w:pPr>
                    <w:pStyle w:val="89"/>
                    <w:rPr>
                      <w:rFonts w:cs="Times New Roman"/>
                    </w:rPr>
                  </w:pPr>
                  <w:r>
                    <w:rPr>
                      <w:rFonts w:cs="Times New Roman"/>
                    </w:rPr>
                    <w:t>-1996</w:t>
                  </w:r>
                </w:p>
              </w:tc>
              <w:tc>
                <w:tcPr>
                  <w:tcW w:w="858" w:type="dxa"/>
                  <w:vMerge w:val="restart"/>
                  <w:vAlign w:val="center"/>
                </w:tcPr>
                <w:p>
                  <w:pPr>
                    <w:pStyle w:val="89"/>
                    <w:rPr>
                      <w:rFonts w:cs="Times New Roman"/>
                    </w:rPr>
                  </w:pPr>
                  <w:r>
                    <w:rPr>
                      <w:rFonts w:cs="Times New Roman"/>
                    </w:rPr>
                    <w:t>表2</w:t>
                  </w:r>
                </w:p>
                <w:p>
                  <w:pPr>
                    <w:pStyle w:val="89"/>
                    <w:rPr>
                      <w:rFonts w:cs="Times New Roman"/>
                    </w:rPr>
                  </w:pPr>
                  <w:r>
                    <w:rPr>
                      <w:rFonts w:cs="Times New Roman"/>
                    </w:rPr>
                    <w:t>二级</w:t>
                  </w:r>
                </w:p>
              </w:tc>
              <w:tc>
                <w:tcPr>
                  <w:tcW w:w="1132" w:type="dxa"/>
                  <w:vMerge w:val="restart"/>
                  <w:vAlign w:val="center"/>
                </w:tcPr>
                <w:p>
                  <w:pPr>
                    <w:pStyle w:val="89"/>
                    <w:rPr>
                      <w:rFonts w:cs="Times New Roman"/>
                    </w:rPr>
                  </w:pPr>
                  <w:r>
                    <w:rPr>
                      <w:rFonts w:cs="Times New Roman"/>
                    </w:rPr>
                    <w:t>颗粒物</w:t>
                  </w:r>
                </w:p>
              </w:tc>
              <w:tc>
                <w:tcPr>
                  <w:tcW w:w="4970" w:type="dxa"/>
                  <w:gridSpan w:val="2"/>
                  <w:vAlign w:val="center"/>
                </w:tcPr>
                <w:p>
                  <w:pPr>
                    <w:pStyle w:val="89"/>
                    <w:rPr>
                      <w:rFonts w:cs="Times New Roman"/>
                    </w:rPr>
                  </w:pPr>
                  <w:r>
                    <w:rPr>
                      <w:rFonts w:cs="Times New Roman"/>
                    </w:rPr>
                    <w:t>无组织排放监测浓度限值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1685" w:type="dxa"/>
                  <w:vMerge w:val="continue"/>
                  <w:vAlign w:val="center"/>
                </w:tcPr>
                <w:p>
                  <w:pPr>
                    <w:pStyle w:val="89"/>
                    <w:rPr>
                      <w:rFonts w:cs="Times New Roman"/>
                    </w:rPr>
                  </w:pPr>
                </w:p>
              </w:tc>
              <w:tc>
                <w:tcPr>
                  <w:tcW w:w="858" w:type="dxa"/>
                  <w:vMerge w:val="continue"/>
                  <w:vAlign w:val="center"/>
                </w:tcPr>
                <w:p>
                  <w:pPr>
                    <w:pStyle w:val="89"/>
                    <w:rPr>
                      <w:rFonts w:cs="Times New Roman"/>
                    </w:rPr>
                  </w:pPr>
                </w:p>
              </w:tc>
              <w:tc>
                <w:tcPr>
                  <w:tcW w:w="1132" w:type="dxa"/>
                  <w:vMerge w:val="continue"/>
                  <w:vAlign w:val="center"/>
                </w:tcPr>
                <w:p>
                  <w:pPr>
                    <w:pStyle w:val="89"/>
                    <w:rPr>
                      <w:rFonts w:cs="Times New Roman"/>
                    </w:rPr>
                  </w:pPr>
                </w:p>
              </w:tc>
              <w:tc>
                <w:tcPr>
                  <w:tcW w:w="2495" w:type="dxa"/>
                  <w:vAlign w:val="center"/>
                </w:tcPr>
                <w:p>
                  <w:pPr>
                    <w:pStyle w:val="89"/>
                    <w:rPr>
                      <w:rFonts w:cs="Times New Roman"/>
                    </w:rPr>
                  </w:pPr>
                  <w:r>
                    <w:rPr>
                      <w:rFonts w:cs="Times New Roman"/>
                    </w:rPr>
                    <w:t>周界外浓度最高点</w:t>
                  </w:r>
                </w:p>
              </w:tc>
              <w:tc>
                <w:tcPr>
                  <w:tcW w:w="2475" w:type="dxa"/>
                  <w:vAlign w:val="center"/>
                </w:tcPr>
                <w:p>
                  <w:pPr>
                    <w:pStyle w:val="89"/>
                    <w:rPr>
                      <w:rFonts w:cs="Times New Roman"/>
                    </w:rPr>
                  </w:pPr>
                  <w:r>
                    <w:rPr>
                      <w:rFonts w:cs="Times New Roman"/>
                    </w:rPr>
                    <w:t>1.0 mg/m</w:t>
                  </w:r>
                  <w:r>
                    <w:rPr>
                      <w:rFonts w:cs="Times New Roman"/>
                      <w:vertAlign w:val="superscript"/>
                    </w:rPr>
                    <w:t>3</w:t>
                  </w:r>
                </w:p>
              </w:tc>
            </w:tr>
          </w:tbl>
          <w:p>
            <w:pPr>
              <w:pStyle w:val="86"/>
              <w:ind w:firstLine="480"/>
              <w:rPr>
                <w:rFonts w:cs="Times New Roman"/>
              </w:rPr>
            </w:pPr>
            <w:r>
              <w:rPr>
                <w:rFonts w:cs="Times New Roman"/>
              </w:rPr>
              <w:t>2、施工期噪声执行《建筑施工场界</w:t>
            </w:r>
            <w:r>
              <w:rPr>
                <w:rFonts w:hint="eastAsia" w:cs="Times New Roman"/>
              </w:rPr>
              <w:t>环境</w:t>
            </w:r>
            <w:r>
              <w:rPr>
                <w:rFonts w:cs="Times New Roman"/>
              </w:rPr>
              <w:t>噪声</w:t>
            </w:r>
            <w:r>
              <w:rPr>
                <w:rFonts w:hint="eastAsia" w:cs="Times New Roman"/>
              </w:rPr>
              <w:t>排放标准</w:t>
            </w:r>
            <w:r>
              <w:rPr>
                <w:rFonts w:cs="Times New Roman"/>
              </w:rPr>
              <w:t>》（GB12523-2011）</w:t>
            </w:r>
            <w:r>
              <w:rPr>
                <w:rFonts w:hint="eastAsia" w:cs="Times New Roman"/>
              </w:rPr>
              <w:t>中标准。</w:t>
            </w:r>
          </w:p>
          <w:p>
            <w:pPr>
              <w:pStyle w:val="90"/>
              <w:spacing w:line="240" w:lineRule="auto"/>
              <w:rPr>
                <w:sz w:val="24"/>
              </w:rPr>
            </w:pPr>
            <w:r>
              <w:t>表3-</w:t>
            </w:r>
            <w:r>
              <w:rPr>
                <w:rFonts w:hint="eastAsia"/>
                <w:lang w:val="en-US" w:eastAsia="zh-CN"/>
              </w:rPr>
              <w:t>7</w:t>
            </w:r>
            <w:r>
              <w:rPr>
                <w:rFonts w:hint="eastAsia"/>
              </w:rPr>
              <w:t>施工噪声排放标准</w:t>
            </w:r>
            <w:r>
              <w:t>（GB12523-2011）单位：dB(A)</w:t>
            </w:r>
          </w:p>
          <w:tbl>
            <w:tblPr>
              <w:tblStyle w:val="33"/>
              <w:tblW w:w="864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324"/>
              <w:gridCol w:w="4325"/>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324" w:type="dxa"/>
                  <w:vAlign w:val="center"/>
                </w:tcPr>
                <w:p>
                  <w:pPr>
                    <w:pStyle w:val="89"/>
                    <w:rPr>
                      <w:rFonts w:cs="Times New Roman"/>
                    </w:rPr>
                  </w:pPr>
                  <w:r>
                    <w:rPr>
                      <w:rFonts w:hint="eastAsia" w:cs="Times New Roman"/>
                    </w:rPr>
                    <w:t>昼间</w:t>
                  </w:r>
                </w:p>
              </w:tc>
              <w:tc>
                <w:tcPr>
                  <w:tcW w:w="4325" w:type="dxa"/>
                  <w:vAlign w:val="center"/>
                </w:tcPr>
                <w:p>
                  <w:pPr>
                    <w:pStyle w:val="89"/>
                    <w:rPr>
                      <w:rFonts w:cs="Times New Roman"/>
                    </w:rPr>
                  </w:pPr>
                  <w:r>
                    <w:rPr>
                      <w:rFonts w:hint="eastAsia" w:cs="Times New Roman"/>
                    </w:rPr>
                    <w:t>夜间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4324" w:type="dxa"/>
                  <w:vAlign w:val="center"/>
                </w:tcPr>
                <w:p>
                  <w:pPr>
                    <w:pStyle w:val="89"/>
                    <w:rPr>
                      <w:rFonts w:cs="Times New Roman"/>
                    </w:rPr>
                  </w:pPr>
                  <w:r>
                    <w:rPr>
                      <w:rFonts w:hint="eastAsia" w:cs="Times New Roman"/>
                    </w:rPr>
                    <w:t>70</w:t>
                  </w:r>
                </w:p>
              </w:tc>
              <w:tc>
                <w:tcPr>
                  <w:tcW w:w="4325" w:type="dxa"/>
                  <w:vAlign w:val="center"/>
                </w:tcPr>
                <w:p>
                  <w:pPr>
                    <w:pStyle w:val="89"/>
                    <w:rPr>
                      <w:rFonts w:cs="Times New Roman"/>
                    </w:rPr>
                  </w:pPr>
                  <w:r>
                    <w:rPr>
                      <w:rFonts w:hint="eastAsia" w:cs="Times New Roman"/>
                    </w:rPr>
                    <w:t>55</w:t>
                  </w:r>
                </w:p>
              </w:tc>
            </w:tr>
          </w:tbl>
          <w:p>
            <w:pPr>
              <w:pStyle w:val="86"/>
              <w:ind w:firstLine="480"/>
              <w:rPr>
                <w:rFonts w:cs="Times New Roman"/>
              </w:rPr>
            </w:pPr>
            <w:r>
              <w:rPr>
                <w:rFonts w:cs="Times New Roman"/>
              </w:rPr>
              <w:t>3、运营期厂界环境噪声执行《工业企业厂界环境噪声排放标准》（GB12348-2008）</w:t>
            </w:r>
            <w:r>
              <w:rPr>
                <w:rFonts w:hint="eastAsia" w:cs="Times New Roman"/>
              </w:rPr>
              <w:t>2</w:t>
            </w:r>
            <w:r>
              <w:rPr>
                <w:rFonts w:cs="Times New Roman"/>
              </w:rPr>
              <w:t>类标准。</w:t>
            </w:r>
          </w:p>
          <w:p>
            <w:pPr>
              <w:jc w:val="center"/>
              <w:rPr>
                <w:b/>
                <w:bCs/>
                <w:sz w:val="24"/>
              </w:rPr>
            </w:pPr>
            <w:r>
              <w:rPr>
                <w:b/>
                <w:szCs w:val="21"/>
                <w:lang w:val="zh-CN"/>
              </w:rPr>
              <w:t>表3-</w:t>
            </w:r>
            <w:r>
              <w:rPr>
                <w:rFonts w:hint="eastAsia"/>
                <w:b/>
                <w:szCs w:val="21"/>
                <w:lang w:val="en-US" w:eastAsia="zh-CN"/>
              </w:rPr>
              <w:t>8</w:t>
            </w:r>
            <w:r>
              <w:rPr>
                <w:b/>
                <w:szCs w:val="21"/>
              </w:rPr>
              <w:t>工业企业厂界环境噪声排放标准</w:t>
            </w:r>
          </w:p>
          <w:tbl>
            <w:tblPr>
              <w:tblStyle w:val="32"/>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3690"/>
              <w:gridCol w:w="36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4" w:type="dxa"/>
                  <w:vAlign w:val="center"/>
                </w:tcPr>
                <w:p>
                  <w:pPr>
                    <w:pStyle w:val="89"/>
                    <w:rPr>
                      <w:rFonts w:cs="Times New Roman"/>
                    </w:rPr>
                  </w:pPr>
                  <w:r>
                    <w:rPr>
                      <w:rFonts w:cs="Times New Roman"/>
                    </w:rPr>
                    <w:t>类别</w:t>
                  </w:r>
                </w:p>
              </w:tc>
              <w:tc>
                <w:tcPr>
                  <w:tcW w:w="3690" w:type="dxa"/>
                  <w:vAlign w:val="center"/>
                </w:tcPr>
                <w:p>
                  <w:pPr>
                    <w:pStyle w:val="89"/>
                    <w:rPr>
                      <w:rFonts w:cs="Times New Roman"/>
                    </w:rPr>
                  </w:pPr>
                  <w:r>
                    <w:rPr>
                      <w:rFonts w:cs="Times New Roman"/>
                    </w:rPr>
                    <w:t>昼间dB（A）</w:t>
                  </w:r>
                </w:p>
              </w:tc>
              <w:tc>
                <w:tcPr>
                  <w:tcW w:w="3691" w:type="dxa"/>
                  <w:vAlign w:val="center"/>
                </w:tcPr>
                <w:p>
                  <w:pPr>
                    <w:pStyle w:val="89"/>
                    <w:rPr>
                      <w:rFonts w:cs="Times New Roman"/>
                    </w:rPr>
                  </w:pPr>
                  <w:r>
                    <w:rPr>
                      <w:rFonts w:cs="Times New Roman"/>
                    </w:rPr>
                    <w:t>夜间dB（A）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264" w:type="dxa"/>
                  <w:tcBorders>
                    <w:bottom w:val="single" w:color="auto" w:sz="4" w:space="0"/>
                  </w:tcBorders>
                  <w:vAlign w:val="center"/>
                </w:tcPr>
                <w:p>
                  <w:pPr>
                    <w:pStyle w:val="89"/>
                    <w:rPr>
                      <w:rFonts w:cs="Times New Roman"/>
                    </w:rPr>
                  </w:pPr>
                  <w:r>
                    <w:rPr>
                      <w:rFonts w:hint="eastAsia" w:cs="Times New Roman"/>
                    </w:rPr>
                    <w:t>2</w:t>
                  </w:r>
                </w:p>
              </w:tc>
              <w:tc>
                <w:tcPr>
                  <w:tcW w:w="3690" w:type="dxa"/>
                  <w:tcBorders>
                    <w:bottom w:val="single" w:color="auto" w:sz="4" w:space="0"/>
                  </w:tcBorders>
                  <w:vAlign w:val="center"/>
                </w:tcPr>
                <w:p>
                  <w:pPr>
                    <w:pStyle w:val="89"/>
                    <w:rPr>
                      <w:rFonts w:cs="Times New Roman"/>
                    </w:rPr>
                  </w:pPr>
                  <w:r>
                    <w:rPr>
                      <w:rFonts w:hint="eastAsia" w:cs="Times New Roman"/>
                    </w:rPr>
                    <w:t>60</w:t>
                  </w:r>
                </w:p>
              </w:tc>
              <w:tc>
                <w:tcPr>
                  <w:tcW w:w="3691" w:type="dxa"/>
                  <w:tcBorders>
                    <w:bottom w:val="single" w:color="auto" w:sz="4" w:space="0"/>
                  </w:tcBorders>
                  <w:vAlign w:val="center"/>
                </w:tcPr>
                <w:p>
                  <w:pPr>
                    <w:pStyle w:val="89"/>
                    <w:rPr>
                      <w:rFonts w:cs="Times New Roman"/>
                    </w:rPr>
                  </w:pPr>
                  <w:r>
                    <w:rPr>
                      <w:rFonts w:hint="eastAsia" w:cs="Times New Roman"/>
                    </w:rPr>
                    <w:t>50</w:t>
                  </w:r>
                </w:p>
              </w:tc>
            </w:tr>
          </w:tbl>
          <w:p>
            <w:pPr>
              <w:pStyle w:val="86"/>
              <w:ind w:firstLine="480"/>
              <w:rPr>
                <w:rFonts w:cs="Times New Roman"/>
              </w:rPr>
            </w:pPr>
            <w:r>
              <w:rPr>
                <w:rFonts w:cs="Times New Roman"/>
              </w:rPr>
              <w:t>4、固体废物执行《一般工业固体废物贮存、处置场污染控制标准》(GB18599-2001)</w:t>
            </w:r>
            <w:r>
              <w:rPr>
                <w:rFonts w:hint="eastAsia" w:cs="Times New Roman"/>
              </w:rPr>
              <w:t>及</w:t>
            </w:r>
            <w:r>
              <w:rPr>
                <w:rFonts w:cs="Times New Roman"/>
              </w:rPr>
              <w:t>修改单</w:t>
            </w:r>
            <w:r>
              <w:rPr>
                <w:rFonts w:hint="eastAsia" w:cs="Times New Roman"/>
              </w:rPr>
              <w:t>、</w:t>
            </w:r>
            <w:r>
              <w:rPr>
                <w:rFonts w:hint="eastAsia"/>
              </w:rPr>
              <w:t>《危险废物贮存污染控制标准》（GB18597-2001）》及环境保护部2013年第36号公告修改单要求</w:t>
            </w: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22" w:type="dxa"/>
            <w:vAlign w:val="center"/>
          </w:tcPr>
          <w:p>
            <w:pPr>
              <w:spacing w:line="360" w:lineRule="exact"/>
              <w:jc w:val="center"/>
              <w:rPr>
                <w:sz w:val="24"/>
              </w:rPr>
            </w:pPr>
            <w:r>
              <w:rPr>
                <w:sz w:val="24"/>
              </w:rPr>
              <w:t>总量控制指标</w:t>
            </w:r>
          </w:p>
        </w:tc>
        <w:tc>
          <w:tcPr>
            <w:tcW w:w="8871" w:type="dxa"/>
            <w:vAlign w:val="center"/>
          </w:tcPr>
          <w:p>
            <w:pPr>
              <w:spacing w:line="460" w:lineRule="exact"/>
              <w:ind w:firstLine="480" w:firstLineChars="200"/>
              <w:rPr>
                <w:sz w:val="24"/>
              </w:rPr>
            </w:pPr>
            <w:r>
              <w:rPr>
                <w:sz w:val="24"/>
              </w:rPr>
              <w:t>本项目无污染物排放</w:t>
            </w:r>
            <w:r>
              <w:rPr>
                <w:rFonts w:hint="eastAsia"/>
                <w:sz w:val="24"/>
              </w:rPr>
              <w:t>，</w:t>
            </w:r>
            <w:r>
              <w:rPr>
                <w:sz w:val="24"/>
              </w:rPr>
              <w:t>环评时未申请总量控制指标。</w:t>
            </w:r>
          </w:p>
        </w:tc>
      </w:tr>
    </w:tbl>
    <w:p>
      <w:pPr>
        <w:spacing w:line="360" w:lineRule="auto"/>
        <w:rPr>
          <w:b/>
          <w:bCs/>
          <w:sz w:val="24"/>
        </w:rPr>
        <w:sectPr>
          <w:pgSz w:w="11907" w:h="16840"/>
          <w:pgMar w:top="1701" w:right="1304" w:bottom="1134" w:left="1418" w:header="1134" w:footer="992" w:gutter="0"/>
          <w:cols w:space="425" w:num="1"/>
          <w:docGrid w:type="linesAndChars" w:linePitch="312" w:charSpace="0"/>
        </w:sectPr>
      </w:pPr>
    </w:p>
    <w:p>
      <w:pPr>
        <w:pStyle w:val="4"/>
        <w:spacing w:beforeLines="0" w:afterLines="0" w:line="460" w:lineRule="exact"/>
        <w:jc w:val="left"/>
        <w:rPr>
          <w:rFonts w:ascii="Times New Roman"/>
          <w:sz w:val="30"/>
        </w:rPr>
      </w:pPr>
      <w:bookmarkStart w:id="31" w:name="_Toc100122854"/>
      <w:bookmarkStart w:id="32" w:name="_Toc297795030"/>
      <w:bookmarkStart w:id="33" w:name="_Toc102120471"/>
      <w:bookmarkStart w:id="34" w:name="_Toc100123054"/>
      <w:bookmarkStart w:id="35" w:name="_Toc100119400"/>
      <w:bookmarkStart w:id="36" w:name="_Toc100123154"/>
      <w:bookmarkStart w:id="37" w:name="_Toc102119093"/>
      <w:bookmarkStart w:id="38" w:name="_Toc443915684"/>
      <w:bookmarkStart w:id="39" w:name="_Toc328647953"/>
      <w:bookmarkStart w:id="40" w:name="_Toc102120188"/>
      <w:r>
        <w:rPr>
          <w:rFonts w:ascii="Times New Roman"/>
          <w:sz w:val="30"/>
        </w:rPr>
        <w:t>表4  工程概况</w:t>
      </w:r>
      <w:bookmarkEnd w:id="31"/>
      <w:bookmarkEnd w:id="32"/>
      <w:bookmarkEnd w:id="33"/>
      <w:bookmarkEnd w:id="34"/>
      <w:bookmarkEnd w:id="35"/>
      <w:bookmarkEnd w:id="36"/>
      <w:bookmarkEnd w:id="37"/>
      <w:bookmarkEnd w:id="38"/>
      <w:bookmarkEnd w:id="39"/>
      <w:bookmarkEnd w:id="40"/>
    </w:p>
    <w:tbl>
      <w:tblPr>
        <w:tblStyle w:val="32"/>
        <w:tblW w:w="940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48"/>
        <w:gridCol w:w="8152"/>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48" w:type="dxa"/>
            <w:vAlign w:val="center"/>
          </w:tcPr>
          <w:p>
            <w:pPr>
              <w:pStyle w:val="38"/>
              <w:keepNext w:val="0"/>
              <w:adjustRightInd/>
              <w:spacing w:line="360" w:lineRule="exact"/>
              <w:textAlignment w:val="auto"/>
              <w:rPr>
                <w:kern w:val="2"/>
                <w:sz w:val="24"/>
                <w:szCs w:val="24"/>
              </w:rPr>
            </w:pPr>
            <w:r>
              <w:rPr>
                <w:kern w:val="2"/>
                <w:sz w:val="24"/>
                <w:szCs w:val="24"/>
              </w:rPr>
              <w:t>项目名称</w:t>
            </w:r>
          </w:p>
        </w:tc>
        <w:tc>
          <w:tcPr>
            <w:tcW w:w="8152" w:type="dxa"/>
          </w:tcPr>
          <w:p>
            <w:pPr>
              <w:pStyle w:val="43"/>
              <w:ind w:firstLine="0" w:firstLineChars="0"/>
              <w:rPr>
                <w:bCs w:val="0"/>
                <w:iCs/>
              </w:rPr>
            </w:pPr>
            <w:r>
              <w:rPr>
                <w:rFonts w:hint="eastAsia"/>
                <w:bCs w:val="0"/>
                <w:iCs/>
              </w:rPr>
              <w:t>保德燃气（煤层气）热电联产项目供气专线</w:t>
            </w:r>
            <w:r>
              <w:rPr>
                <w:bCs w:val="0"/>
                <w:iCs/>
              </w:rPr>
              <w:t>工程</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48" w:type="dxa"/>
            <w:vAlign w:val="center"/>
          </w:tcPr>
          <w:p>
            <w:pPr>
              <w:pStyle w:val="38"/>
              <w:keepNext w:val="0"/>
              <w:adjustRightInd/>
              <w:spacing w:line="360" w:lineRule="exact"/>
              <w:textAlignment w:val="auto"/>
              <w:rPr>
                <w:kern w:val="2"/>
                <w:sz w:val="24"/>
                <w:szCs w:val="24"/>
              </w:rPr>
            </w:pPr>
            <w:r>
              <w:rPr>
                <w:kern w:val="2"/>
                <w:sz w:val="24"/>
                <w:szCs w:val="24"/>
              </w:rPr>
              <w:t>项目地理位置（附地理位置图）</w:t>
            </w:r>
          </w:p>
        </w:tc>
        <w:tc>
          <w:tcPr>
            <w:tcW w:w="8152" w:type="dxa"/>
            <w:vAlign w:val="center"/>
          </w:tcPr>
          <w:p>
            <w:pPr>
              <w:spacing w:line="460" w:lineRule="exact"/>
              <w:ind w:firstLine="470" w:firstLineChars="195"/>
              <w:rPr>
                <w:b/>
                <w:sz w:val="24"/>
              </w:rPr>
            </w:pPr>
            <w:bookmarkStart w:id="41" w:name="_Toc138497333"/>
            <w:bookmarkStart w:id="42" w:name="_Toc138497843"/>
            <w:r>
              <w:rPr>
                <w:b/>
                <w:sz w:val="24"/>
              </w:rPr>
              <w:t>环评：</w:t>
            </w:r>
          </w:p>
          <w:p>
            <w:pPr>
              <w:pStyle w:val="86"/>
              <w:ind w:firstLine="480"/>
              <w:rPr>
                <w:rFonts w:cs="Times New Roman"/>
              </w:rPr>
            </w:pPr>
            <w:r>
              <w:rPr>
                <w:rFonts w:cs="Times New Roman"/>
              </w:rPr>
              <w:t>本工程</w:t>
            </w:r>
            <w:r>
              <w:rPr>
                <w:rFonts w:hint="eastAsia" w:cs="Times New Roman"/>
              </w:rPr>
              <w:t>大体呈东南-西北</w:t>
            </w:r>
            <w:r>
              <w:rPr>
                <w:rFonts w:cs="Times New Roman"/>
              </w:rPr>
              <w:t>方向。管线全长约8km。</w:t>
            </w:r>
          </w:p>
          <w:p>
            <w:pPr>
              <w:pStyle w:val="86"/>
              <w:ind w:firstLine="480"/>
              <w:rPr>
                <w:rFonts w:cs="Times New Roman"/>
                <w:color w:val="FF0000"/>
              </w:rPr>
            </w:pPr>
            <w:r>
              <w:t>管道由A01号桩保德首站出站以后，向北敷设到达A02号桩而后向西北方向穿越墓巨沟到达A04号桩。管线到达A04号桩后，一直沿乡村公路向西北方向敷设，在A12-A14之间穿越五保高速匝道2次以及朱家川河1次后到达前会村。管线在前会村转向西北敷设，最终达到A17号桩故城村西侧的保德煤层气热电厂。管线沿线经过崔家墕村，前会村以及故城村。管道水平长约为8km</w:t>
            </w:r>
            <w:r>
              <w:rPr>
                <w:rFonts w:cs="Times New Roman"/>
              </w:rPr>
              <w:t>。</w:t>
            </w:r>
          </w:p>
          <w:p>
            <w:pPr>
              <w:spacing w:line="460" w:lineRule="exact"/>
              <w:ind w:firstLine="482" w:firstLineChars="200"/>
              <w:rPr>
                <w:b/>
                <w:sz w:val="24"/>
              </w:rPr>
            </w:pPr>
            <w:r>
              <w:rPr>
                <w:rFonts w:hint="eastAsia"/>
                <w:b/>
                <w:sz w:val="24"/>
                <w:lang w:val="en-US" w:eastAsia="zh-CN"/>
              </w:rPr>
              <w:t>实际</w:t>
            </w:r>
            <w:r>
              <w:rPr>
                <w:b/>
                <w:sz w:val="24"/>
              </w:rPr>
              <w:t>调查：</w:t>
            </w:r>
          </w:p>
          <w:p>
            <w:pPr>
              <w:pStyle w:val="86"/>
              <w:ind w:firstLine="480"/>
            </w:pPr>
            <w:r>
              <w:rPr>
                <w:rFonts w:hint="eastAsia"/>
              </w:rPr>
              <w:t>实际管线路由总水平长度为6.74km，实长7.18km。</w:t>
            </w:r>
          </w:p>
          <w:p>
            <w:pPr>
              <w:spacing w:line="460" w:lineRule="exact"/>
              <w:ind w:firstLine="480" w:firstLineChars="200"/>
              <w:rPr>
                <w:sz w:val="24"/>
              </w:rPr>
            </w:pPr>
            <w:r>
              <w:rPr>
                <w:rFonts w:hint="eastAsia"/>
                <w:sz w:val="24"/>
              </w:rPr>
              <w:t>管线总体走向为由东南向西北方向敷设。管道从保德首站始出，向西北方向敷设，穿越朱家川河</w:t>
            </w:r>
            <w:r>
              <w:rPr>
                <w:rFonts w:hint="eastAsia"/>
                <w:sz w:val="24"/>
                <w:lang w:val="en-US" w:eastAsia="zh-CN"/>
              </w:rPr>
              <w:t>1次以及</w:t>
            </w:r>
            <w:r>
              <w:rPr>
                <w:rFonts w:hint="eastAsia"/>
                <w:sz w:val="24"/>
              </w:rPr>
              <w:t>五保高速匝道</w:t>
            </w:r>
            <w:r>
              <w:rPr>
                <w:rFonts w:hint="eastAsia"/>
                <w:sz w:val="24"/>
                <w:lang w:val="en-US" w:eastAsia="zh-CN"/>
              </w:rPr>
              <w:t>2次</w:t>
            </w:r>
            <w:r>
              <w:rPr>
                <w:rFonts w:hint="eastAsia"/>
                <w:sz w:val="24"/>
              </w:rPr>
              <w:t>后到达前会村。管线在前会村向西北敷设，最终到达保德煤层气热电厂。管线经过崔家墕村，前会村以及故城村。</w:t>
            </w:r>
          </w:p>
          <w:p>
            <w:pPr>
              <w:spacing w:line="460" w:lineRule="exact"/>
              <w:ind w:firstLine="480" w:firstLineChars="200"/>
              <w:rPr>
                <w:sz w:val="24"/>
              </w:rPr>
            </w:pPr>
            <w:r>
              <w:rPr>
                <w:sz w:val="24"/>
              </w:rPr>
              <w:t>地理位置见附图1。</w:t>
            </w:r>
            <w:bookmarkEnd w:id="41"/>
            <w:bookmarkEnd w:id="42"/>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50" w:hRule="atLeast"/>
          <w:jc w:val="center"/>
        </w:trPr>
        <w:tc>
          <w:tcPr>
            <w:tcW w:w="9400" w:type="dxa"/>
            <w:gridSpan w:val="2"/>
            <w:tcBorders>
              <w:bottom w:val="single" w:color="auto" w:sz="4" w:space="0"/>
            </w:tcBorders>
            <w:vAlign w:val="center"/>
          </w:tcPr>
          <w:p>
            <w:pPr>
              <w:pStyle w:val="43"/>
              <w:spacing w:line="460" w:lineRule="exact"/>
              <w:ind w:firstLine="0" w:firstLineChars="0"/>
              <w:rPr>
                <w:b/>
                <w:sz w:val="24"/>
                <w:szCs w:val="24"/>
              </w:rPr>
            </w:pPr>
            <w:r>
              <w:rPr>
                <w:b/>
                <w:sz w:val="24"/>
                <w:szCs w:val="24"/>
              </w:rPr>
              <w:t>主要工程内容及规模：</w:t>
            </w:r>
          </w:p>
          <w:p>
            <w:pPr>
              <w:pStyle w:val="58"/>
              <w:spacing w:line="460" w:lineRule="exact"/>
              <w:ind w:firstLine="476"/>
              <w:rPr>
                <w:rFonts w:ascii="Times New Roman" w:hAnsi="Times New Roman" w:eastAsia="宋体"/>
                <w:b/>
              </w:rPr>
            </w:pPr>
            <w:r>
              <w:rPr>
                <w:rFonts w:ascii="Times New Roman" w:hAnsi="Times New Roman" w:eastAsia="宋体"/>
                <w:b/>
              </w:rPr>
              <w:t>1、建设规模</w:t>
            </w:r>
          </w:p>
          <w:p>
            <w:pPr>
              <w:spacing w:line="460" w:lineRule="exact"/>
              <w:ind w:firstLine="434" w:firstLineChars="180"/>
              <w:rPr>
                <w:b/>
                <w:sz w:val="24"/>
              </w:rPr>
            </w:pPr>
            <w:r>
              <w:rPr>
                <w:b/>
                <w:sz w:val="24"/>
              </w:rPr>
              <w:t>环评：</w:t>
            </w:r>
          </w:p>
          <w:p>
            <w:pPr>
              <w:pStyle w:val="86"/>
              <w:ind w:firstLine="480"/>
            </w:pPr>
            <w:r>
              <w:rPr>
                <w:rFonts w:cs="Times New Roman"/>
              </w:rPr>
              <w:t>环评中项目</w:t>
            </w:r>
            <w:r>
              <w:rPr>
                <w:rFonts w:hint="eastAsia" w:cs="Times New Roman"/>
              </w:rPr>
              <w:t>主要为保德首站至保德煤层气热电厂输气线路的建设和保德首站扩建工程：（1）本项目输气</w:t>
            </w:r>
            <w:r>
              <w:rPr>
                <w:rFonts w:cs="Times New Roman"/>
              </w:rPr>
              <w:t>管道</w:t>
            </w:r>
            <w:r>
              <w:rPr>
                <w:rFonts w:hint="eastAsia" w:cs="Times New Roman"/>
              </w:rPr>
              <w:t>全长</w:t>
            </w:r>
            <w:r>
              <w:rPr>
                <w:rFonts w:cs="Times New Roman"/>
              </w:rPr>
              <w:t>8km，管径D</w:t>
            </w:r>
            <w:r>
              <w:rPr>
                <w:rFonts w:hint="eastAsia" w:cs="Times New Roman"/>
              </w:rPr>
              <w:t>219.1</w:t>
            </w:r>
            <w:r>
              <w:rPr>
                <w:rFonts w:cs="Times New Roman"/>
              </w:rPr>
              <w:t>mm，</w:t>
            </w:r>
            <w:r>
              <w:rPr>
                <w:rFonts w:hint="eastAsia" w:cs="Times New Roman"/>
              </w:rPr>
              <w:t>材质为L245N PSL2，</w:t>
            </w:r>
            <w:r>
              <w:rPr>
                <w:rFonts w:cs="Times New Roman"/>
              </w:rPr>
              <w:t>设计压力</w:t>
            </w:r>
            <w:r>
              <w:rPr>
                <w:rFonts w:hint="eastAsia" w:cs="Times New Roman"/>
              </w:rPr>
              <w:t>6.3</w:t>
            </w:r>
            <w:r>
              <w:rPr>
                <w:rFonts w:cs="Times New Roman"/>
              </w:rPr>
              <w:t>MPa，</w:t>
            </w:r>
            <w:r>
              <w:rPr>
                <w:rFonts w:hint="eastAsia" w:cs="Times New Roman"/>
              </w:rPr>
              <w:t>钢管选用无缝钢管，钢管壁厚8.0mm，</w:t>
            </w:r>
            <w:r>
              <w:rPr>
                <w:rFonts w:cs="Times New Roman"/>
              </w:rPr>
              <w:t>设计输气量</w:t>
            </w:r>
            <w:r>
              <w:rPr>
                <w:rFonts w:hint="eastAsia" w:cs="Times New Roman"/>
              </w:rPr>
              <w:t>1.75</w:t>
            </w:r>
            <w:r>
              <w:rPr>
                <w:rFonts w:cs="Times New Roman"/>
              </w:rPr>
              <w:t>×10</w:t>
            </w:r>
            <w:r>
              <w:rPr>
                <w:rFonts w:cs="Times New Roman"/>
                <w:vertAlign w:val="superscript"/>
              </w:rPr>
              <w:t>8</w:t>
            </w:r>
            <w:r>
              <w:rPr>
                <w:rFonts w:hint="eastAsia" w:cs="Times New Roman"/>
              </w:rPr>
              <w:t>N</w:t>
            </w:r>
            <w:r>
              <w:rPr>
                <w:rFonts w:cs="Times New Roman"/>
              </w:rPr>
              <w:t>m</w:t>
            </w:r>
            <w:r>
              <w:rPr>
                <w:rFonts w:cs="Times New Roman"/>
                <w:vertAlign w:val="superscript"/>
              </w:rPr>
              <w:t>3</w:t>
            </w:r>
            <w:r>
              <w:rPr>
                <w:rFonts w:cs="Times New Roman"/>
              </w:rPr>
              <w:t>/a</w:t>
            </w:r>
            <w:r>
              <w:rPr>
                <w:rFonts w:hint="eastAsia" w:cs="Times New Roman"/>
              </w:rPr>
              <w:t>；（2）</w:t>
            </w:r>
            <w:r>
              <w:t>保德首站扩建</w:t>
            </w:r>
            <w:r>
              <w:rPr>
                <w:rFonts w:hint="eastAsia"/>
              </w:rPr>
              <w:t>内容是</w:t>
            </w:r>
            <w:r>
              <w:t>在保德首站分子筛脱水装置后增加计量、流量调节以及清管装置</w:t>
            </w:r>
            <w:r>
              <w:rPr>
                <w:rFonts w:hint="eastAsia"/>
              </w:rPr>
              <w:t>。</w:t>
            </w:r>
          </w:p>
          <w:p>
            <w:pPr>
              <w:spacing w:line="460" w:lineRule="exact"/>
              <w:ind w:firstLine="482" w:firstLineChars="200"/>
              <w:rPr>
                <w:b/>
                <w:sz w:val="24"/>
              </w:rPr>
            </w:pPr>
            <w:r>
              <w:rPr>
                <w:rFonts w:hint="eastAsia"/>
                <w:b/>
                <w:sz w:val="24"/>
                <w:lang w:val="en-US" w:eastAsia="zh-CN"/>
              </w:rPr>
              <w:t>实际</w:t>
            </w:r>
            <w:r>
              <w:rPr>
                <w:b/>
                <w:sz w:val="24"/>
              </w:rPr>
              <w:t>调查：</w:t>
            </w:r>
          </w:p>
          <w:p>
            <w:pPr>
              <w:spacing w:line="460" w:lineRule="exact"/>
              <w:ind w:firstLine="480" w:firstLineChars="200"/>
              <w:rPr>
                <w:bCs/>
                <w:iCs/>
                <w:color w:val="FF0000"/>
                <w:sz w:val="24"/>
              </w:rPr>
            </w:pPr>
            <w:r>
              <w:rPr>
                <w:sz w:val="24"/>
              </w:rPr>
              <w:t>经调查，</w:t>
            </w:r>
            <w:r>
              <w:rPr>
                <w:rFonts w:hint="eastAsia"/>
                <w:sz w:val="24"/>
              </w:rPr>
              <w:t>管线铺设长度7.18km，从花园村东北-五保高速</w:t>
            </w:r>
            <w:r>
              <w:rPr>
                <w:sz w:val="24"/>
              </w:rPr>
              <w:t>段</w:t>
            </w:r>
            <w:r>
              <w:rPr>
                <w:rFonts w:hint="eastAsia"/>
                <w:sz w:val="24"/>
              </w:rPr>
              <w:t>管线</w:t>
            </w:r>
            <w:r>
              <w:rPr>
                <w:sz w:val="24"/>
              </w:rPr>
              <w:t>路由</w:t>
            </w:r>
            <w:r>
              <w:rPr>
                <w:rFonts w:hint="eastAsia"/>
                <w:sz w:val="24"/>
              </w:rPr>
              <w:t>发生变化。输气量及技术参数与环评中一致。保德首站扩建内容与环评一致。</w:t>
            </w:r>
            <w:r>
              <w:rPr>
                <w:bCs/>
                <w:iCs/>
                <w:sz w:val="24"/>
              </w:rPr>
              <w:t>实际管线路由与环评管线路由的对比图见附图3。</w:t>
            </w:r>
          </w:p>
          <w:p>
            <w:pPr>
              <w:spacing w:line="460" w:lineRule="exact"/>
              <w:ind w:firstLine="482" w:firstLineChars="200"/>
              <w:rPr>
                <w:b/>
                <w:sz w:val="24"/>
              </w:rPr>
            </w:pPr>
            <w:r>
              <w:rPr>
                <w:b/>
                <w:sz w:val="24"/>
              </w:rPr>
              <w:t>2、主要建设内容</w:t>
            </w:r>
          </w:p>
          <w:p>
            <w:pPr>
              <w:pStyle w:val="86"/>
              <w:ind w:firstLine="480"/>
              <w:rPr>
                <w:rFonts w:cs="Times New Roman"/>
              </w:rPr>
            </w:pPr>
            <w:r>
              <w:rPr>
                <w:rFonts w:cs="Times New Roman"/>
              </w:rPr>
              <w:t>（1）线路工程</w:t>
            </w:r>
          </w:p>
          <w:p>
            <w:pPr>
              <w:pStyle w:val="86"/>
              <w:ind w:firstLine="480"/>
              <w:rPr>
                <w:rFonts w:cs="Times New Roman"/>
                <w:bCs/>
                <w:iCs/>
                <w:szCs w:val="24"/>
              </w:rPr>
            </w:pPr>
            <w:r>
              <w:rPr>
                <w:rFonts w:cs="Times New Roman"/>
                <w:bCs/>
                <w:iCs/>
                <w:szCs w:val="24"/>
              </w:rPr>
              <w:t>项目基本组成及建设内容列于表4-1。</w:t>
            </w:r>
          </w:p>
          <w:p>
            <w:pPr>
              <w:autoSpaceDE w:val="0"/>
              <w:autoSpaceDN w:val="0"/>
              <w:adjustRightInd w:val="0"/>
              <w:jc w:val="center"/>
              <w:rPr>
                <w:b/>
                <w:szCs w:val="21"/>
                <w:lang w:val="zh-CN"/>
              </w:rPr>
            </w:pPr>
            <w:r>
              <w:rPr>
                <w:b/>
                <w:szCs w:val="21"/>
                <w:lang w:val="zh-CN"/>
              </w:rPr>
              <w:t>表4-1　工程建设内容表</w:t>
            </w:r>
          </w:p>
          <w:tbl>
            <w:tblPr>
              <w:tblStyle w:val="3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979"/>
              <w:gridCol w:w="1186"/>
              <w:gridCol w:w="3917"/>
              <w:gridCol w:w="2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Align w:val="center"/>
                </w:tcPr>
                <w:p>
                  <w:pPr>
                    <w:jc w:val="center"/>
                    <w:rPr>
                      <w:szCs w:val="21"/>
                    </w:rPr>
                  </w:pPr>
                  <w:r>
                    <w:rPr>
                      <w:szCs w:val="21"/>
                    </w:rPr>
                    <w:t>工程内容</w:t>
                  </w:r>
                </w:p>
              </w:tc>
              <w:tc>
                <w:tcPr>
                  <w:tcW w:w="2165" w:type="dxa"/>
                  <w:gridSpan w:val="2"/>
                  <w:vAlign w:val="center"/>
                </w:tcPr>
                <w:p>
                  <w:pPr>
                    <w:jc w:val="center"/>
                    <w:rPr>
                      <w:szCs w:val="21"/>
                    </w:rPr>
                  </w:pPr>
                  <w:r>
                    <w:rPr>
                      <w:szCs w:val="21"/>
                    </w:rPr>
                    <w:t>项目名称</w:t>
                  </w:r>
                </w:p>
              </w:tc>
              <w:tc>
                <w:tcPr>
                  <w:tcW w:w="3917" w:type="dxa"/>
                  <w:vAlign w:val="center"/>
                </w:tcPr>
                <w:p>
                  <w:pPr>
                    <w:jc w:val="center"/>
                    <w:rPr>
                      <w:szCs w:val="21"/>
                    </w:rPr>
                  </w:pPr>
                  <w:r>
                    <w:rPr>
                      <w:szCs w:val="21"/>
                    </w:rPr>
                    <w:t>环评建设内容</w:t>
                  </w:r>
                </w:p>
              </w:tc>
              <w:tc>
                <w:tcPr>
                  <w:tcW w:w="2374" w:type="dxa"/>
                  <w:vAlign w:val="center"/>
                </w:tcPr>
                <w:p>
                  <w:pPr>
                    <w:jc w:val="center"/>
                    <w:rPr>
                      <w:szCs w:val="21"/>
                    </w:rPr>
                  </w:pPr>
                  <w:r>
                    <w:rPr>
                      <w:szCs w:val="21"/>
                    </w:rPr>
                    <w:t>实际建设内容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restart"/>
                  <w:vAlign w:val="center"/>
                </w:tcPr>
                <w:p>
                  <w:pPr>
                    <w:jc w:val="center"/>
                    <w:rPr>
                      <w:szCs w:val="21"/>
                    </w:rPr>
                  </w:pPr>
                  <w:r>
                    <w:rPr>
                      <w:szCs w:val="21"/>
                    </w:rPr>
                    <w:t>主体工程</w:t>
                  </w:r>
                </w:p>
              </w:tc>
              <w:tc>
                <w:tcPr>
                  <w:tcW w:w="979" w:type="dxa"/>
                  <w:vAlign w:val="center"/>
                </w:tcPr>
                <w:p>
                  <w:pPr>
                    <w:jc w:val="center"/>
                    <w:rPr>
                      <w:szCs w:val="21"/>
                    </w:rPr>
                  </w:pPr>
                  <w:r>
                    <w:rPr>
                      <w:szCs w:val="21"/>
                    </w:rPr>
                    <w:t>管线</w:t>
                  </w:r>
                </w:p>
              </w:tc>
              <w:tc>
                <w:tcPr>
                  <w:tcW w:w="1186" w:type="dxa"/>
                  <w:vAlign w:val="center"/>
                </w:tcPr>
                <w:p>
                  <w:pPr>
                    <w:jc w:val="center"/>
                    <w:rPr>
                      <w:szCs w:val="21"/>
                    </w:rPr>
                  </w:pPr>
                  <w:r>
                    <w:rPr>
                      <w:szCs w:val="21"/>
                    </w:rPr>
                    <w:t>输气管网</w:t>
                  </w:r>
                </w:p>
              </w:tc>
              <w:tc>
                <w:tcPr>
                  <w:tcW w:w="3917" w:type="dxa"/>
                  <w:vAlign w:val="center"/>
                </w:tcPr>
                <w:p>
                  <w:pPr>
                    <w:jc w:val="center"/>
                    <w:rPr>
                      <w:szCs w:val="21"/>
                    </w:rPr>
                  </w:pPr>
                  <w:r>
                    <w:rPr>
                      <w:szCs w:val="21"/>
                    </w:rPr>
                    <w:t>供气专线工程输气线路采用不增压密闭输送工艺。管线全长8km，输气管道的设计压力为6.3MPa，选用无缝钢管</w:t>
                  </w:r>
                </w:p>
              </w:tc>
              <w:tc>
                <w:tcPr>
                  <w:tcW w:w="2374" w:type="dxa"/>
                  <w:vAlign w:val="center"/>
                </w:tcPr>
                <w:p>
                  <w:pPr>
                    <w:jc w:val="center"/>
                    <w:rPr>
                      <w:szCs w:val="21"/>
                    </w:rPr>
                  </w:pPr>
                  <w:r>
                    <w:rPr>
                      <w:rFonts w:hint="eastAsia"/>
                      <w:szCs w:val="21"/>
                    </w:rPr>
                    <w:t>管线全长7.18km，技术参数与环评一致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979" w:type="dxa"/>
                  <w:vMerge w:val="restart"/>
                  <w:vAlign w:val="center"/>
                </w:tcPr>
                <w:p>
                  <w:pPr>
                    <w:jc w:val="center"/>
                    <w:rPr>
                      <w:szCs w:val="21"/>
                    </w:rPr>
                  </w:pPr>
                  <w:r>
                    <w:rPr>
                      <w:szCs w:val="21"/>
                    </w:rPr>
                    <w:t>穿越</w:t>
                  </w:r>
                </w:p>
                <w:p>
                  <w:pPr>
                    <w:jc w:val="center"/>
                    <w:rPr>
                      <w:szCs w:val="21"/>
                    </w:rPr>
                  </w:pPr>
                  <w:r>
                    <w:rPr>
                      <w:szCs w:val="21"/>
                    </w:rPr>
                    <w:t>工程</w:t>
                  </w:r>
                </w:p>
              </w:tc>
              <w:tc>
                <w:tcPr>
                  <w:tcW w:w="1186" w:type="dxa"/>
                  <w:vAlign w:val="center"/>
                </w:tcPr>
                <w:p>
                  <w:pPr>
                    <w:jc w:val="center"/>
                    <w:rPr>
                      <w:szCs w:val="21"/>
                    </w:rPr>
                  </w:pPr>
                  <w:r>
                    <w:rPr>
                      <w:szCs w:val="21"/>
                    </w:rPr>
                    <w:t>河流穿越</w:t>
                  </w:r>
                </w:p>
              </w:tc>
              <w:tc>
                <w:tcPr>
                  <w:tcW w:w="3917" w:type="dxa"/>
                  <w:vAlign w:val="center"/>
                </w:tcPr>
                <w:p>
                  <w:pPr>
                    <w:jc w:val="center"/>
                    <w:rPr>
                      <w:szCs w:val="21"/>
                    </w:rPr>
                  </w:pPr>
                  <w:r>
                    <w:rPr>
                      <w:szCs w:val="21"/>
                    </w:rPr>
                    <w:t>本工程管线穿越朱家川河1次，朱家川河河床以沙砾卵石为主，拟采取围堰大开挖穿越</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979" w:type="dxa"/>
                  <w:vMerge w:val="continue"/>
                  <w:vAlign w:val="center"/>
                </w:tcPr>
                <w:p>
                  <w:pPr>
                    <w:ind w:left="445"/>
                    <w:jc w:val="center"/>
                    <w:rPr>
                      <w:szCs w:val="21"/>
                    </w:rPr>
                  </w:pPr>
                </w:p>
              </w:tc>
              <w:tc>
                <w:tcPr>
                  <w:tcW w:w="1186" w:type="dxa"/>
                  <w:vAlign w:val="center"/>
                </w:tcPr>
                <w:p>
                  <w:pPr>
                    <w:jc w:val="center"/>
                    <w:rPr>
                      <w:szCs w:val="21"/>
                    </w:rPr>
                  </w:pPr>
                  <w:r>
                    <w:rPr>
                      <w:szCs w:val="21"/>
                    </w:rPr>
                    <w:t>道路穿越</w:t>
                  </w:r>
                </w:p>
              </w:tc>
              <w:tc>
                <w:tcPr>
                  <w:tcW w:w="3917" w:type="dxa"/>
                  <w:vAlign w:val="center"/>
                </w:tcPr>
                <w:p>
                  <w:pPr>
                    <w:jc w:val="center"/>
                    <w:rPr>
                      <w:szCs w:val="21"/>
                    </w:rPr>
                  </w:pPr>
                  <w:r>
                    <w:rPr>
                      <w:szCs w:val="21"/>
                    </w:rPr>
                    <w:t>本工程管线共穿越五保高速匝道2次，高速公路穿越采用顶管加保护套管的方式；其他道路采取大开挖穿越</w:t>
                  </w:r>
                </w:p>
              </w:tc>
              <w:tc>
                <w:tcPr>
                  <w:tcW w:w="2374" w:type="dxa"/>
                  <w:vAlign w:val="center"/>
                </w:tcPr>
                <w:p>
                  <w:pPr>
                    <w:jc w:val="center"/>
                    <w:rPr>
                      <w:szCs w:val="21"/>
                    </w:rPr>
                  </w:pPr>
                  <w:r>
                    <w:rPr>
                      <w:szCs w:val="21"/>
                    </w:rPr>
                    <w:t>本工程管线共穿越五保高速匝道</w:t>
                  </w:r>
                  <w:r>
                    <w:rPr>
                      <w:rFonts w:hint="eastAsia"/>
                      <w:szCs w:val="21"/>
                      <w:lang w:val="en-US" w:eastAsia="zh-CN"/>
                    </w:rPr>
                    <w:t>2</w:t>
                  </w:r>
                  <w:r>
                    <w:rPr>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979" w:type="dxa"/>
                  <w:vMerge w:val="continue"/>
                  <w:vAlign w:val="center"/>
                </w:tcPr>
                <w:p>
                  <w:pPr>
                    <w:ind w:left="445"/>
                    <w:jc w:val="center"/>
                    <w:rPr>
                      <w:szCs w:val="21"/>
                    </w:rPr>
                  </w:pPr>
                </w:p>
              </w:tc>
              <w:tc>
                <w:tcPr>
                  <w:tcW w:w="1186" w:type="dxa"/>
                  <w:vAlign w:val="center"/>
                </w:tcPr>
                <w:p>
                  <w:pPr>
                    <w:jc w:val="center"/>
                    <w:rPr>
                      <w:szCs w:val="21"/>
                    </w:rPr>
                  </w:pPr>
                  <w:r>
                    <w:rPr>
                      <w:szCs w:val="21"/>
                    </w:rPr>
                    <w:t>冲沟穿越</w:t>
                  </w:r>
                </w:p>
              </w:tc>
              <w:tc>
                <w:tcPr>
                  <w:tcW w:w="3917" w:type="dxa"/>
                  <w:vAlign w:val="center"/>
                </w:tcPr>
                <w:p>
                  <w:pPr>
                    <w:jc w:val="center"/>
                    <w:rPr>
                      <w:szCs w:val="21"/>
                    </w:rPr>
                  </w:pPr>
                  <w:r>
                    <w:rPr>
                      <w:szCs w:val="21"/>
                    </w:rPr>
                    <w:t>本工程穿越大型冲沟1次，小型冲沟3次。采取沿沟顶部边缘设置阻水墙或截水沟的处理方法</w:t>
                  </w:r>
                </w:p>
              </w:tc>
              <w:tc>
                <w:tcPr>
                  <w:tcW w:w="2374" w:type="dxa"/>
                  <w:vAlign w:val="center"/>
                </w:tcPr>
                <w:p>
                  <w:pPr>
                    <w:jc w:val="center"/>
                    <w:rPr>
                      <w:szCs w:val="21"/>
                    </w:rPr>
                  </w:pPr>
                  <w:r>
                    <w:rPr>
                      <w:szCs w:val="21"/>
                    </w:rPr>
                    <w:t>本工程穿越大型冲沟1次，小型冲沟</w:t>
                  </w:r>
                  <w:r>
                    <w:rPr>
                      <w:rFonts w:hint="eastAsia"/>
                      <w:szCs w:val="21"/>
                    </w:rPr>
                    <w:t>5</w:t>
                  </w:r>
                  <w:r>
                    <w:rPr>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979" w:type="dxa"/>
                  <w:vAlign w:val="center"/>
                </w:tcPr>
                <w:p>
                  <w:pPr>
                    <w:jc w:val="center"/>
                    <w:rPr>
                      <w:szCs w:val="21"/>
                    </w:rPr>
                  </w:pPr>
                  <w:r>
                    <w:rPr>
                      <w:szCs w:val="21"/>
                    </w:rPr>
                    <w:t>站场</w:t>
                  </w:r>
                </w:p>
              </w:tc>
              <w:tc>
                <w:tcPr>
                  <w:tcW w:w="1186" w:type="dxa"/>
                  <w:vAlign w:val="center"/>
                </w:tcPr>
                <w:p>
                  <w:pPr>
                    <w:jc w:val="center"/>
                    <w:rPr>
                      <w:szCs w:val="21"/>
                    </w:rPr>
                  </w:pPr>
                  <w:r>
                    <w:rPr>
                      <w:szCs w:val="21"/>
                    </w:rPr>
                    <w:t>保德首站扩建</w:t>
                  </w:r>
                </w:p>
              </w:tc>
              <w:tc>
                <w:tcPr>
                  <w:tcW w:w="3917" w:type="dxa"/>
                  <w:vAlign w:val="center"/>
                </w:tcPr>
                <w:p>
                  <w:pPr>
                    <w:jc w:val="center"/>
                    <w:rPr>
                      <w:szCs w:val="21"/>
                    </w:rPr>
                  </w:pPr>
                  <w:r>
                    <w:rPr>
                      <w:szCs w:val="21"/>
                    </w:rPr>
                    <w:t>在保德首站分子筛脱水装置后增加计量、流量调节以及清管装置，保德煤层气热电厂供气规模为50×10</w:t>
                  </w:r>
                  <w:r>
                    <w:rPr>
                      <w:szCs w:val="21"/>
                      <w:vertAlign w:val="superscript"/>
                    </w:rPr>
                    <w:t>4</w:t>
                  </w:r>
                  <w:r>
                    <w:rPr>
                      <w:szCs w:val="21"/>
                    </w:rPr>
                    <w:t>m</w:t>
                  </w:r>
                  <w:r>
                    <w:rPr>
                      <w:szCs w:val="21"/>
                      <w:vertAlign w:val="superscript"/>
                    </w:rPr>
                    <w:t>3</w:t>
                  </w:r>
                  <w:r>
                    <w:rPr>
                      <w:szCs w:val="21"/>
                    </w:rPr>
                    <w:t>/d</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Align w:val="center"/>
                </w:tcPr>
                <w:p>
                  <w:pPr>
                    <w:jc w:val="center"/>
                    <w:rPr>
                      <w:szCs w:val="21"/>
                    </w:rPr>
                  </w:pPr>
                  <w:r>
                    <w:rPr>
                      <w:szCs w:val="21"/>
                    </w:rPr>
                    <w:t>公用工程</w:t>
                  </w:r>
                </w:p>
              </w:tc>
              <w:tc>
                <w:tcPr>
                  <w:tcW w:w="2165" w:type="dxa"/>
                  <w:gridSpan w:val="2"/>
                  <w:vAlign w:val="center"/>
                </w:tcPr>
                <w:p>
                  <w:pPr>
                    <w:jc w:val="center"/>
                    <w:rPr>
                      <w:szCs w:val="21"/>
                    </w:rPr>
                  </w:pPr>
                  <w:r>
                    <w:rPr>
                      <w:szCs w:val="21"/>
                    </w:rPr>
                    <w:t>供配电</w:t>
                  </w:r>
                </w:p>
              </w:tc>
              <w:tc>
                <w:tcPr>
                  <w:tcW w:w="3917" w:type="dxa"/>
                  <w:vAlign w:val="center"/>
                </w:tcPr>
                <w:p>
                  <w:pPr>
                    <w:jc w:val="center"/>
                    <w:rPr>
                      <w:szCs w:val="21"/>
                    </w:rPr>
                  </w:pPr>
                  <w:r>
                    <w:rPr>
                      <w:szCs w:val="21"/>
                    </w:rPr>
                    <w:t>在工艺区（二）增设电动阀配电箱AP6一台。现新增的用电负荷约为5KW</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restart"/>
                  <w:vAlign w:val="center"/>
                </w:tcPr>
                <w:p>
                  <w:pPr>
                    <w:jc w:val="center"/>
                    <w:rPr>
                      <w:szCs w:val="21"/>
                    </w:rPr>
                  </w:pPr>
                  <w:r>
                    <w:rPr>
                      <w:szCs w:val="21"/>
                    </w:rPr>
                    <w:t>依托工程</w:t>
                  </w:r>
                </w:p>
              </w:tc>
              <w:tc>
                <w:tcPr>
                  <w:tcW w:w="2165" w:type="dxa"/>
                  <w:gridSpan w:val="2"/>
                  <w:vAlign w:val="center"/>
                </w:tcPr>
                <w:p>
                  <w:pPr>
                    <w:jc w:val="center"/>
                    <w:rPr>
                      <w:szCs w:val="21"/>
                    </w:rPr>
                  </w:pPr>
                  <w:r>
                    <w:rPr>
                      <w:szCs w:val="21"/>
                    </w:rPr>
                    <w:t>供电</w:t>
                  </w:r>
                </w:p>
              </w:tc>
              <w:tc>
                <w:tcPr>
                  <w:tcW w:w="3917" w:type="dxa"/>
                  <w:vAlign w:val="center"/>
                </w:tcPr>
                <w:p>
                  <w:pPr>
                    <w:jc w:val="center"/>
                    <w:rPr>
                      <w:szCs w:val="21"/>
                    </w:rPr>
                  </w:pPr>
                  <w:r>
                    <w:rPr>
                      <w:szCs w:val="21"/>
                    </w:rPr>
                    <w:t>站场供电电源由现有10/0.4KV变压器提供，电源引自桥头和东局国网变电站</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2165" w:type="dxa"/>
                  <w:gridSpan w:val="2"/>
                  <w:vAlign w:val="center"/>
                </w:tcPr>
                <w:p>
                  <w:pPr>
                    <w:jc w:val="center"/>
                    <w:rPr>
                      <w:szCs w:val="21"/>
                    </w:rPr>
                  </w:pPr>
                  <w:r>
                    <w:rPr>
                      <w:szCs w:val="21"/>
                    </w:rPr>
                    <w:t>给排水</w:t>
                  </w:r>
                </w:p>
              </w:tc>
              <w:tc>
                <w:tcPr>
                  <w:tcW w:w="3917" w:type="dxa"/>
                  <w:vAlign w:val="center"/>
                </w:tcPr>
                <w:p>
                  <w:pPr>
                    <w:jc w:val="center"/>
                    <w:rPr>
                      <w:szCs w:val="21"/>
                    </w:rPr>
                  </w:pPr>
                  <w:r>
                    <w:rPr>
                      <w:szCs w:val="21"/>
                    </w:rPr>
                    <w:t>站场用水来自崔家墕村水井；生活污水排入站内的生活污水沉淀池后由当地村民定期拉走沤肥；生产废水排入站内排污池，由山西松兰环保科技有限公司定期拉走进行进一步处理，排污池位于站场工艺区的西侧，容积约为70m</w:t>
                  </w:r>
                  <w:r>
                    <w:rPr>
                      <w:szCs w:val="21"/>
                      <w:vertAlign w:val="superscript"/>
                    </w:rPr>
                    <w:t>3</w:t>
                  </w:r>
                </w:p>
              </w:tc>
              <w:tc>
                <w:tcPr>
                  <w:tcW w:w="2374" w:type="dxa"/>
                  <w:vAlign w:val="center"/>
                </w:tcPr>
                <w:p>
                  <w:pPr>
                    <w:jc w:val="center"/>
                    <w:rPr>
                      <w:szCs w:val="21"/>
                    </w:rPr>
                  </w:pPr>
                  <w:r>
                    <w:rPr>
                      <w:rFonts w:hint="eastAsia"/>
                      <w:szCs w:val="21"/>
                      <w:lang w:val="en-US" w:eastAsia="zh-CN"/>
                    </w:rPr>
                    <w:t>生产废水由中材桃园环保科技有限公司拉走进行进一步处理，其余</w:t>
                  </w: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2165" w:type="dxa"/>
                  <w:gridSpan w:val="2"/>
                  <w:vAlign w:val="center"/>
                </w:tcPr>
                <w:p>
                  <w:pPr>
                    <w:jc w:val="center"/>
                    <w:rPr>
                      <w:szCs w:val="21"/>
                    </w:rPr>
                  </w:pPr>
                  <w:r>
                    <w:rPr>
                      <w:szCs w:val="21"/>
                    </w:rPr>
                    <w:t>消防</w:t>
                  </w:r>
                </w:p>
              </w:tc>
              <w:tc>
                <w:tcPr>
                  <w:tcW w:w="3917" w:type="dxa"/>
                  <w:vAlign w:val="center"/>
                </w:tcPr>
                <w:p>
                  <w:pPr>
                    <w:jc w:val="center"/>
                    <w:rPr>
                      <w:szCs w:val="21"/>
                    </w:rPr>
                  </w:pPr>
                  <w:r>
                    <w:rPr>
                      <w:szCs w:val="21"/>
                    </w:rPr>
                    <w:t>消防泵房及消防水池位于站场南侧，消防水池大小为400m</w:t>
                  </w:r>
                  <w:r>
                    <w:rPr>
                      <w:szCs w:val="21"/>
                      <w:vertAlign w:val="superscript"/>
                    </w:rPr>
                    <w:t>3</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2165" w:type="dxa"/>
                  <w:gridSpan w:val="2"/>
                  <w:vAlign w:val="center"/>
                </w:tcPr>
                <w:p>
                  <w:pPr>
                    <w:jc w:val="center"/>
                    <w:rPr>
                      <w:szCs w:val="21"/>
                    </w:rPr>
                  </w:pPr>
                  <w:r>
                    <w:rPr>
                      <w:szCs w:val="21"/>
                    </w:rPr>
                    <w:t>采暖制冷</w:t>
                  </w:r>
                </w:p>
              </w:tc>
              <w:tc>
                <w:tcPr>
                  <w:tcW w:w="3917" w:type="dxa"/>
                  <w:vAlign w:val="center"/>
                </w:tcPr>
                <w:p>
                  <w:pPr>
                    <w:jc w:val="center"/>
                    <w:rPr>
                      <w:szCs w:val="21"/>
                    </w:rPr>
                  </w:pPr>
                  <w:r>
                    <w:rPr>
                      <w:szCs w:val="21"/>
                    </w:rPr>
                    <w:t>站场冬季供暖采用0.23MW的常压燃气热水锅炉，锅炉房位于站场综合办公控制工具房一层；夏季制冷采用分体空调</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2165" w:type="dxa"/>
                  <w:gridSpan w:val="2"/>
                  <w:vAlign w:val="center"/>
                </w:tcPr>
                <w:p>
                  <w:pPr>
                    <w:jc w:val="center"/>
                    <w:rPr>
                      <w:szCs w:val="21"/>
                    </w:rPr>
                  </w:pPr>
                  <w:r>
                    <w:rPr>
                      <w:szCs w:val="21"/>
                    </w:rPr>
                    <w:t>通信工程</w:t>
                  </w:r>
                </w:p>
              </w:tc>
              <w:tc>
                <w:tcPr>
                  <w:tcW w:w="3917" w:type="dxa"/>
                  <w:vAlign w:val="center"/>
                </w:tcPr>
                <w:p>
                  <w:pPr>
                    <w:jc w:val="center"/>
                    <w:rPr>
                      <w:szCs w:val="21"/>
                    </w:rPr>
                  </w:pPr>
                  <w:r>
                    <w:rPr>
                      <w:szCs w:val="21"/>
                    </w:rPr>
                    <w:t>利用场站原有的通信设施，无需改建</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8" w:type="dxa"/>
                  <w:vMerge w:val="continue"/>
                  <w:vAlign w:val="center"/>
                </w:tcPr>
                <w:p>
                  <w:pPr>
                    <w:ind w:left="445"/>
                    <w:jc w:val="center"/>
                    <w:rPr>
                      <w:szCs w:val="21"/>
                    </w:rPr>
                  </w:pPr>
                </w:p>
              </w:tc>
              <w:tc>
                <w:tcPr>
                  <w:tcW w:w="2165" w:type="dxa"/>
                  <w:gridSpan w:val="2"/>
                  <w:vAlign w:val="center"/>
                </w:tcPr>
                <w:p>
                  <w:pPr>
                    <w:jc w:val="center"/>
                    <w:rPr>
                      <w:szCs w:val="21"/>
                    </w:rPr>
                  </w:pPr>
                  <w:r>
                    <w:rPr>
                      <w:szCs w:val="21"/>
                    </w:rPr>
                    <w:t>放空区</w:t>
                  </w:r>
                </w:p>
              </w:tc>
              <w:tc>
                <w:tcPr>
                  <w:tcW w:w="3917" w:type="dxa"/>
                  <w:vAlign w:val="center"/>
                </w:tcPr>
                <w:p>
                  <w:pPr>
                    <w:jc w:val="center"/>
                    <w:rPr>
                      <w:szCs w:val="21"/>
                    </w:rPr>
                  </w:pPr>
                  <w:r>
                    <w:rPr>
                      <w:szCs w:val="21"/>
                    </w:rPr>
                    <w:t>依托原有放空区，设置约25m高的放空火炬</w:t>
                  </w:r>
                </w:p>
              </w:tc>
              <w:tc>
                <w:tcPr>
                  <w:tcW w:w="2374" w:type="dxa"/>
                  <w:vAlign w:val="center"/>
                </w:tcPr>
                <w:p>
                  <w:pPr>
                    <w:jc w:val="center"/>
                    <w:rPr>
                      <w:szCs w:val="21"/>
                    </w:rPr>
                  </w:pPr>
                  <w:r>
                    <w:rPr>
                      <w:rFonts w:hint="eastAsia"/>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tblHeader/>
                <w:jc w:val="center"/>
              </w:trPr>
              <w:tc>
                <w:tcPr>
                  <w:tcW w:w="718" w:type="dxa"/>
                  <w:vAlign w:val="center"/>
                </w:tcPr>
                <w:p>
                  <w:pPr>
                    <w:jc w:val="center"/>
                    <w:rPr>
                      <w:szCs w:val="21"/>
                    </w:rPr>
                  </w:pPr>
                  <w:r>
                    <w:rPr>
                      <w:szCs w:val="21"/>
                    </w:rPr>
                    <w:t>环保工程</w:t>
                  </w:r>
                </w:p>
              </w:tc>
              <w:tc>
                <w:tcPr>
                  <w:tcW w:w="2165" w:type="dxa"/>
                  <w:gridSpan w:val="2"/>
                  <w:vAlign w:val="center"/>
                </w:tcPr>
                <w:p>
                  <w:pPr>
                    <w:jc w:val="center"/>
                    <w:rPr>
                      <w:szCs w:val="21"/>
                    </w:rPr>
                  </w:pPr>
                  <w:r>
                    <w:rPr>
                      <w:szCs w:val="21"/>
                    </w:rPr>
                    <w:t>生态恢复</w:t>
                  </w:r>
                </w:p>
              </w:tc>
              <w:tc>
                <w:tcPr>
                  <w:tcW w:w="3917" w:type="dxa"/>
                  <w:vAlign w:val="center"/>
                </w:tcPr>
                <w:p>
                  <w:pPr>
                    <w:jc w:val="center"/>
                    <w:rPr>
                      <w:szCs w:val="21"/>
                    </w:rPr>
                  </w:pPr>
                  <w:r>
                    <w:rPr>
                      <w:szCs w:val="21"/>
                    </w:rPr>
                    <w:t>临时占地恢复原有生态环境</w:t>
                  </w:r>
                </w:p>
              </w:tc>
              <w:tc>
                <w:tcPr>
                  <w:tcW w:w="2374" w:type="dxa"/>
                  <w:vAlign w:val="center"/>
                </w:tcPr>
                <w:p>
                  <w:pPr>
                    <w:jc w:val="center"/>
                    <w:rPr>
                      <w:szCs w:val="21"/>
                    </w:rPr>
                  </w:pPr>
                  <w:r>
                    <w:rPr>
                      <w:rFonts w:hint="eastAsia"/>
                      <w:szCs w:val="21"/>
                    </w:rPr>
                    <w:t>与环评一致</w:t>
                  </w:r>
                </w:p>
              </w:tc>
            </w:tr>
          </w:tbl>
          <w:p>
            <w:pPr>
              <w:spacing w:line="460" w:lineRule="exact"/>
              <w:ind w:firstLine="432" w:firstLineChars="180"/>
              <w:rPr>
                <w:sz w:val="24"/>
              </w:rPr>
            </w:pPr>
            <w:r>
              <w:rPr>
                <w:rFonts w:hAnsi="宋体"/>
                <w:sz w:val="24"/>
              </w:rPr>
              <w:t>①</w:t>
            </w:r>
            <w:r>
              <w:rPr>
                <w:sz w:val="24"/>
              </w:rPr>
              <w:t>管线穿越</w:t>
            </w:r>
          </w:p>
          <w:p>
            <w:pPr>
              <w:spacing w:line="460" w:lineRule="exact"/>
              <w:ind w:firstLine="432" w:firstLineChars="180"/>
              <w:rPr>
                <w:sz w:val="24"/>
              </w:rPr>
            </w:pPr>
            <w:r>
              <w:rPr>
                <w:sz w:val="24"/>
              </w:rPr>
              <w:t>本项目穿越高速公路采用顶管加保护套管的方式，县级以下公路采用开挖直埋或顶管加保护套的方式穿越</w:t>
            </w:r>
            <w:r>
              <w:rPr>
                <w:rFonts w:hAnsi="Arial"/>
                <w:sz w:val="24"/>
              </w:rPr>
              <w:t>。</w:t>
            </w:r>
            <w:r>
              <w:rPr>
                <w:sz w:val="24"/>
              </w:rPr>
              <w:t>穿越河流采取大开挖穿越，敷设方式采取全断面沟埋敷设，将管道置于河床密实卵石层内一定深度，确保管道安全。</w:t>
            </w:r>
            <w:r>
              <w:rPr>
                <w:rFonts w:hAnsi="宋体"/>
                <w:sz w:val="24"/>
              </w:rPr>
              <w:t>与其他管道与光缆等的穿越时，取得产权部门的同意，同时本管道提高防腐等级、加强探伤检测比例，保持一定的检修安全间距。当输气管道与其它管道交叉时，从其下方通过，二者净距不小于</w:t>
            </w:r>
            <w:r>
              <w:rPr>
                <w:sz w:val="24"/>
              </w:rPr>
              <w:t>0.3m</w:t>
            </w:r>
            <w:r>
              <w:rPr>
                <w:rFonts w:hAnsi="宋体"/>
                <w:sz w:val="24"/>
              </w:rPr>
              <w:t>，当小于</w:t>
            </w:r>
            <w:r>
              <w:rPr>
                <w:sz w:val="24"/>
              </w:rPr>
              <w:t>0.3m</w:t>
            </w:r>
            <w:r>
              <w:rPr>
                <w:rFonts w:hAnsi="宋体"/>
                <w:sz w:val="24"/>
              </w:rPr>
              <w:t>时，中间设有坚固的绝缘隔离物，确保其不接触。双方管道在交叉点两侧各延伸</w:t>
            </w:r>
            <w:r>
              <w:rPr>
                <w:sz w:val="24"/>
              </w:rPr>
              <w:t>10m</w:t>
            </w:r>
            <w:r>
              <w:rPr>
                <w:rFonts w:hAnsi="宋体"/>
                <w:sz w:val="24"/>
              </w:rPr>
              <w:t>以上的管段，确保管道防腐层无缺陷。当输气管道与光缆、电缆交叉时，相互垂直间距不小于</w:t>
            </w:r>
            <w:r>
              <w:rPr>
                <w:sz w:val="24"/>
              </w:rPr>
              <w:t>0.5m</w:t>
            </w:r>
            <w:r>
              <w:rPr>
                <w:rFonts w:hAnsi="宋体"/>
                <w:sz w:val="24"/>
              </w:rPr>
              <w:t>，交叉点两侧各延伸</w:t>
            </w:r>
            <w:r>
              <w:rPr>
                <w:sz w:val="24"/>
              </w:rPr>
              <w:t>10m</w:t>
            </w:r>
            <w:r>
              <w:rPr>
                <w:rFonts w:hAnsi="宋体"/>
                <w:sz w:val="24"/>
              </w:rPr>
              <w:t>以上的管段，确保管道防腐层无缺陷。</w:t>
            </w:r>
          </w:p>
          <w:p>
            <w:pPr>
              <w:spacing w:line="460" w:lineRule="exact"/>
              <w:ind w:firstLine="432" w:firstLineChars="180"/>
              <w:rPr>
                <w:sz w:val="24"/>
              </w:rPr>
            </w:pPr>
            <w:r>
              <w:rPr>
                <w:sz w:val="24"/>
              </w:rPr>
              <w:t>沿线管道穿跨越长度及位置统计见表4-2。</w:t>
            </w:r>
          </w:p>
          <w:p>
            <w:pPr>
              <w:pStyle w:val="90"/>
              <w:rPr>
                <w:bCs/>
                <w:iCs/>
              </w:rPr>
            </w:pPr>
            <w:r>
              <w:rPr>
                <w:bCs/>
                <w:iCs/>
              </w:rPr>
              <w:t>表4-2环评中</w:t>
            </w:r>
            <w:r>
              <w:t>管道穿跨越情况统计表</w:t>
            </w:r>
          </w:p>
          <w:tbl>
            <w:tblPr>
              <w:tblStyle w:val="32"/>
              <w:tblW w:w="8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
              <w:gridCol w:w="1617"/>
              <w:gridCol w:w="1360"/>
              <w:gridCol w:w="1276"/>
              <w:gridCol w:w="709"/>
              <w:gridCol w:w="1588"/>
              <w:gridCol w:w="19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49" w:type="dxa"/>
                  <w:vMerge w:val="restart"/>
                  <w:vAlign w:val="center"/>
                </w:tcPr>
                <w:p>
                  <w:pPr>
                    <w:pStyle w:val="89"/>
                    <w:rPr>
                      <w:rFonts w:cs="Times New Roman"/>
                    </w:rPr>
                  </w:pPr>
                  <w:r>
                    <w:rPr>
                      <w:rFonts w:cs="Times New Roman"/>
                    </w:rPr>
                    <w:t>序号</w:t>
                  </w:r>
                </w:p>
              </w:tc>
              <w:tc>
                <w:tcPr>
                  <w:tcW w:w="6550" w:type="dxa"/>
                  <w:gridSpan w:val="5"/>
                  <w:tcBorders>
                    <w:bottom w:val="single" w:color="auto" w:sz="4" w:space="0"/>
                  </w:tcBorders>
                  <w:vAlign w:val="center"/>
                </w:tcPr>
                <w:p>
                  <w:pPr>
                    <w:pStyle w:val="89"/>
                    <w:rPr>
                      <w:rFonts w:cs="Times New Roman"/>
                    </w:rPr>
                  </w:pPr>
                  <w:r>
                    <w:rPr>
                      <w:rFonts w:cs="Times New Roman"/>
                    </w:rPr>
                    <w:t>环评</w:t>
                  </w:r>
                </w:p>
              </w:tc>
              <w:tc>
                <w:tcPr>
                  <w:tcW w:w="1949" w:type="dxa"/>
                  <w:vMerge w:val="restart"/>
                  <w:vAlign w:val="center"/>
                </w:tcPr>
                <w:p>
                  <w:pPr>
                    <w:pStyle w:val="89"/>
                    <w:rPr>
                      <w:rFonts w:cs="Times New Roman"/>
                    </w:rPr>
                  </w:pPr>
                  <w:r>
                    <w:rPr>
                      <w:rFonts w:cs="Times New Roman"/>
                    </w:rPr>
                    <w:t>实际</w:t>
                  </w:r>
                </w:p>
                <w:p>
                  <w:pPr>
                    <w:pStyle w:val="89"/>
                    <w:rPr>
                      <w:rFonts w:cs="Times New Roman"/>
                    </w:rPr>
                  </w:pPr>
                  <w:r>
                    <w:rPr>
                      <w:rFonts w:cs="Times New Roman"/>
                    </w:rPr>
                    <w:t>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49" w:type="dxa"/>
                  <w:vMerge w:val="continue"/>
                  <w:tcBorders>
                    <w:bottom w:val="single" w:color="auto" w:sz="4" w:space="0"/>
                  </w:tcBorders>
                  <w:vAlign w:val="center"/>
                </w:tcPr>
                <w:p>
                  <w:pPr>
                    <w:pStyle w:val="89"/>
                    <w:rPr>
                      <w:rFonts w:cs="Times New Roman"/>
                      <w:color w:val="FF0000"/>
                    </w:rPr>
                  </w:pPr>
                </w:p>
              </w:tc>
              <w:tc>
                <w:tcPr>
                  <w:tcW w:w="1617" w:type="dxa"/>
                  <w:tcBorders>
                    <w:bottom w:val="single" w:color="auto" w:sz="4" w:space="0"/>
                  </w:tcBorders>
                  <w:vAlign w:val="center"/>
                </w:tcPr>
                <w:p>
                  <w:pPr>
                    <w:pStyle w:val="89"/>
                    <w:rPr>
                      <w:rFonts w:cs="Times New Roman"/>
                    </w:rPr>
                  </w:pPr>
                  <w:r>
                    <w:rPr>
                      <w:rFonts w:cs="Times New Roman"/>
                    </w:rPr>
                    <w:t>穿越地名称</w:t>
                  </w:r>
                </w:p>
              </w:tc>
              <w:tc>
                <w:tcPr>
                  <w:tcW w:w="1360" w:type="dxa"/>
                  <w:tcBorders>
                    <w:bottom w:val="single" w:color="auto" w:sz="4" w:space="0"/>
                  </w:tcBorders>
                  <w:vAlign w:val="center"/>
                </w:tcPr>
                <w:p>
                  <w:pPr>
                    <w:pStyle w:val="89"/>
                    <w:rPr>
                      <w:rFonts w:cs="Times New Roman"/>
                    </w:rPr>
                  </w:pPr>
                  <w:r>
                    <w:rPr>
                      <w:rFonts w:cs="Times New Roman"/>
                    </w:rPr>
                    <w:t>穿越长度(m)</w:t>
                  </w:r>
                </w:p>
              </w:tc>
              <w:tc>
                <w:tcPr>
                  <w:tcW w:w="1276" w:type="dxa"/>
                  <w:tcBorders>
                    <w:bottom w:val="single" w:color="auto" w:sz="4" w:space="0"/>
                  </w:tcBorders>
                  <w:vAlign w:val="center"/>
                </w:tcPr>
                <w:p>
                  <w:pPr>
                    <w:pStyle w:val="89"/>
                    <w:rPr>
                      <w:rFonts w:cs="Times New Roman"/>
                    </w:rPr>
                  </w:pPr>
                  <w:r>
                    <w:rPr>
                      <w:rFonts w:cs="Times New Roman"/>
                    </w:rPr>
                    <w:t>穿越方式</w:t>
                  </w:r>
                </w:p>
              </w:tc>
              <w:tc>
                <w:tcPr>
                  <w:tcW w:w="709" w:type="dxa"/>
                  <w:tcBorders>
                    <w:bottom w:val="single" w:color="auto" w:sz="4" w:space="0"/>
                  </w:tcBorders>
                  <w:vAlign w:val="center"/>
                </w:tcPr>
                <w:p>
                  <w:pPr>
                    <w:pStyle w:val="89"/>
                    <w:rPr>
                      <w:rFonts w:cs="Times New Roman"/>
                    </w:rPr>
                  </w:pPr>
                  <w:r>
                    <w:rPr>
                      <w:rFonts w:cs="Times New Roman"/>
                    </w:rPr>
                    <w:t>穿越次数</w:t>
                  </w:r>
                </w:p>
              </w:tc>
              <w:tc>
                <w:tcPr>
                  <w:tcW w:w="1588" w:type="dxa"/>
                  <w:tcBorders>
                    <w:bottom w:val="single" w:color="auto" w:sz="4" w:space="0"/>
                  </w:tcBorders>
                  <w:vAlign w:val="center"/>
                </w:tcPr>
                <w:p>
                  <w:pPr>
                    <w:pStyle w:val="89"/>
                    <w:rPr>
                      <w:rFonts w:cs="Times New Roman"/>
                    </w:rPr>
                  </w:pPr>
                  <w:r>
                    <w:rPr>
                      <w:rFonts w:cs="Times New Roman"/>
                    </w:rPr>
                    <w:t>穿越位置</w:t>
                  </w:r>
                </w:p>
              </w:tc>
              <w:tc>
                <w:tcPr>
                  <w:tcW w:w="1949" w:type="dxa"/>
                  <w:vMerge w:val="continue"/>
                  <w:tcBorders>
                    <w:bottom w:val="single" w:color="auto" w:sz="4" w:space="0"/>
                  </w:tcBorders>
                  <w:vAlign w:val="center"/>
                </w:tcPr>
                <w:p>
                  <w:pPr>
                    <w:pStyle w:val="89"/>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449" w:type="dxa"/>
                  <w:vAlign w:val="center"/>
                </w:tcPr>
                <w:p>
                  <w:pPr>
                    <w:pStyle w:val="89"/>
                    <w:rPr>
                      <w:rFonts w:cs="Times New Roman"/>
                    </w:rPr>
                  </w:pPr>
                  <w:r>
                    <w:rPr>
                      <w:rFonts w:cs="Times New Roman"/>
                    </w:rPr>
                    <w:t>1</w:t>
                  </w:r>
                </w:p>
              </w:tc>
              <w:tc>
                <w:tcPr>
                  <w:tcW w:w="1617" w:type="dxa"/>
                  <w:vAlign w:val="center"/>
                </w:tcPr>
                <w:p>
                  <w:pPr>
                    <w:pStyle w:val="89"/>
                    <w:rPr>
                      <w:rFonts w:cs="Times New Roman"/>
                    </w:rPr>
                  </w:pPr>
                  <w:r>
                    <w:rPr>
                      <w:rFonts w:hint="eastAsia" w:cs="Times New Roman"/>
                    </w:rPr>
                    <w:t>朱家川河</w:t>
                  </w:r>
                </w:p>
              </w:tc>
              <w:tc>
                <w:tcPr>
                  <w:tcW w:w="1360" w:type="dxa"/>
                  <w:vAlign w:val="center"/>
                </w:tcPr>
                <w:p>
                  <w:pPr>
                    <w:pStyle w:val="89"/>
                    <w:rPr>
                      <w:rFonts w:cs="Times New Roman"/>
                    </w:rPr>
                  </w:pPr>
                  <w:r>
                    <w:rPr>
                      <w:rFonts w:hint="eastAsia" w:cs="Times New Roman"/>
                    </w:rPr>
                    <w:t>107m</w:t>
                  </w:r>
                </w:p>
              </w:tc>
              <w:tc>
                <w:tcPr>
                  <w:tcW w:w="1276" w:type="dxa"/>
                  <w:vAlign w:val="center"/>
                </w:tcPr>
                <w:p>
                  <w:pPr>
                    <w:pStyle w:val="89"/>
                    <w:rPr>
                      <w:rFonts w:cs="Times New Roman"/>
                    </w:rPr>
                  </w:pPr>
                  <w:r>
                    <w:rPr>
                      <w:rFonts w:hint="eastAsia" w:cs="Times New Roman"/>
                    </w:rPr>
                    <w:t>大开挖</w:t>
                  </w:r>
                </w:p>
              </w:tc>
              <w:tc>
                <w:tcPr>
                  <w:tcW w:w="709" w:type="dxa"/>
                  <w:vAlign w:val="center"/>
                </w:tcPr>
                <w:p>
                  <w:pPr>
                    <w:pStyle w:val="89"/>
                    <w:rPr>
                      <w:rFonts w:cs="Times New Roman"/>
                    </w:rPr>
                  </w:pPr>
                  <w:r>
                    <w:rPr>
                      <w:rFonts w:cs="Times New Roman"/>
                    </w:rPr>
                    <w:t>1次</w:t>
                  </w:r>
                </w:p>
              </w:tc>
              <w:tc>
                <w:tcPr>
                  <w:tcW w:w="1588" w:type="dxa"/>
                  <w:vAlign w:val="center"/>
                </w:tcPr>
                <w:p>
                  <w:pPr>
                    <w:pStyle w:val="89"/>
                    <w:rPr>
                      <w:rFonts w:cs="Times New Roman"/>
                    </w:rPr>
                  </w:pPr>
                  <w:r>
                    <w:rPr>
                      <w:rFonts w:hint="eastAsia" w:cs="Times New Roman"/>
                    </w:rPr>
                    <w:t>前会村南280</w:t>
                  </w:r>
                  <w:r>
                    <w:rPr>
                      <w:rFonts w:cs="Times New Roman"/>
                    </w:rPr>
                    <w:t>m</w:t>
                  </w:r>
                </w:p>
              </w:tc>
              <w:tc>
                <w:tcPr>
                  <w:tcW w:w="1949" w:type="dxa"/>
                  <w:vAlign w:val="center"/>
                </w:tcPr>
                <w:p>
                  <w:pPr>
                    <w:pStyle w:val="89"/>
                    <w:rPr>
                      <w:rFonts w:cs="Times New Roman"/>
                    </w:rPr>
                  </w:pPr>
                  <w:r>
                    <w:rPr>
                      <w:rFonts w:hint="eastAsia" w:cs="Times New Roman"/>
                    </w:rPr>
                    <w:t>前会村南380m,穿越长度约90m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jc w:val="center"/>
              </w:trPr>
              <w:tc>
                <w:tcPr>
                  <w:tcW w:w="449" w:type="dxa"/>
                  <w:vAlign w:val="center"/>
                </w:tcPr>
                <w:p>
                  <w:pPr>
                    <w:pStyle w:val="89"/>
                    <w:rPr>
                      <w:rFonts w:cs="Times New Roman"/>
                    </w:rPr>
                  </w:pPr>
                  <w:r>
                    <w:rPr>
                      <w:rFonts w:cs="Times New Roman"/>
                    </w:rPr>
                    <w:t>2</w:t>
                  </w:r>
                </w:p>
              </w:tc>
              <w:tc>
                <w:tcPr>
                  <w:tcW w:w="1617" w:type="dxa"/>
                  <w:vAlign w:val="center"/>
                </w:tcPr>
                <w:p>
                  <w:pPr>
                    <w:pStyle w:val="89"/>
                    <w:rPr>
                      <w:rFonts w:cs="Times New Roman"/>
                    </w:rPr>
                  </w:pPr>
                  <w:r>
                    <w:rPr>
                      <w:rFonts w:hint="eastAsia" w:cs="Times New Roman"/>
                    </w:rPr>
                    <w:t>五保高速匝道</w:t>
                  </w:r>
                </w:p>
              </w:tc>
              <w:tc>
                <w:tcPr>
                  <w:tcW w:w="1360" w:type="dxa"/>
                  <w:vAlign w:val="center"/>
                </w:tcPr>
                <w:p>
                  <w:pPr>
                    <w:pStyle w:val="89"/>
                    <w:rPr>
                      <w:rFonts w:cs="Times New Roman"/>
                    </w:rPr>
                  </w:pPr>
                  <w:r>
                    <w:rPr>
                      <w:rFonts w:hint="eastAsia" w:cs="Times New Roman"/>
                    </w:rPr>
                    <w:t>-</w:t>
                  </w:r>
                </w:p>
              </w:tc>
              <w:tc>
                <w:tcPr>
                  <w:tcW w:w="1276" w:type="dxa"/>
                  <w:vAlign w:val="center"/>
                </w:tcPr>
                <w:p>
                  <w:pPr>
                    <w:pStyle w:val="89"/>
                    <w:rPr>
                      <w:rFonts w:cs="Times New Roman"/>
                    </w:rPr>
                  </w:pPr>
                  <w:r>
                    <w:rPr>
                      <w:rFonts w:cs="Times New Roman"/>
                    </w:rPr>
                    <w:t>顶管</w:t>
                  </w:r>
                </w:p>
              </w:tc>
              <w:tc>
                <w:tcPr>
                  <w:tcW w:w="709" w:type="dxa"/>
                  <w:vAlign w:val="center"/>
                </w:tcPr>
                <w:p>
                  <w:pPr>
                    <w:pStyle w:val="89"/>
                    <w:rPr>
                      <w:rFonts w:cs="Times New Roman"/>
                    </w:rPr>
                  </w:pPr>
                  <w:r>
                    <w:rPr>
                      <w:rFonts w:hint="eastAsia" w:cs="Times New Roman"/>
                    </w:rPr>
                    <w:t>2</w:t>
                  </w:r>
                  <w:r>
                    <w:rPr>
                      <w:rFonts w:cs="Times New Roman"/>
                    </w:rPr>
                    <w:t>次</w:t>
                  </w:r>
                </w:p>
              </w:tc>
              <w:tc>
                <w:tcPr>
                  <w:tcW w:w="1588" w:type="dxa"/>
                  <w:vAlign w:val="center"/>
                </w:tcPr>
                <w:p>
                  <w:pPr>
                    <w:pStyle w:val="89"/>
                    <w:rPr>
                      <w:rFonts w:cs="Times New Roman"/>
                    </w:rPr>
                  </w:pPr>
                  <w:r>
                    <w:rPr>
                      <w:rFonts w:hint="eastAsia" w:cs="Times New Roman"/>
                    </w:rPr>
                    <w:t>前会村南330</w:t>
                  </w:r>
                  <w:r>
                    <w:rPr>
                      <w:rFonts w:cs="Times New Roman"/>
                    </w:rPr>
                    <w:t>m</w:t>
                  </w:r>
                </w:p>
              </w:tc>
              <w:tc>
                <w:tcPr>
                  <w:tcW w:w="1949" w:type="dxa"/>
                  <w:vAlign w:val="center"/>
                </w:tcPr>
                <w:p>
                  <w:pPr>
                    <w:pStyle w:val="89"/>
                    <w:rPr>
                      <w:rFonts w:cs="Times New Roman"/>
                    </w:rPr>
                  </w:pPr>
                  <w:r>
                    <w:rPr>
                      <w:rFonts w:hint="eastAsia" w:cs="Times New Roman"/>
                    </w:rPr>
                    <w:t>前会村西南320m</w:t>
                  </w:r>
                  <w:r>
                    <w:rPr>
                      <w:rFonts w:cs="Times New Roman"/>
                    </w:rPr>
                    <w:t>，</w:t>
                  </w:r>
                  <w:r>
                    <w:rPr>
                      <w:rFonts w:hint="eastAsia" w:cs="Times New Roman"/>
                    </w:rPr>
                    <w:t>穿越五保高速匝道1次，穿越长度约18m；前会村西南250m，穿越五保高速</w:t>
                  </w:r>
                  <w:r>
                    <w:rPr>
                      <w:rFonts w:hint="eastAsia" w:cs="Times New Roman"/>
                      <w:lang w:val="en-US" w:eastAsia="zh-CN"/>
                    </w:rPr>
                    <w:t>匝道1</w:t>
                  </w:r>
                  <w:r>
                    <w:rPr>
                      <w:rFonts w:hint="eastAsia" w:cs="Times New Roman"/>
                    </w:rPr>
                    <w:t>次，穿越长度约75m</w:t>
                  </w:r>
                </w:p>
              </w:tc>
            </w:tr>
          </w:tbl>
          <w:p>
            <w:pPr>
              <w:spacing w:line="460" w:lineRule="exact"/>
              <w:ind w:firstLine="432" w:firstLineChars="180"/>
              <w:rPr>
                <w:color w:val="000000" w:themeColor="text1"/>
                <w:sz w:val="24"/>
              </w:rPr>
            </w:pPr>
            <w:r>
              <w:rPr>
                <w:rFonts w:hint="eastAsia" w:ascii="宋体" w:hAnsi="宋体" w:cs="宋体"/>
                <w:color w:val="000000" w:themeColor="text1"/>
                <w:sz w:val="24"/>
              </w:rPr>
              <w:t>②</w:t>
            </w:r>
            <w:r>
              <w:rPr>
                <w:color w:val="000000" w:themeColor="text1"/>
                <w:sz w:val="24"/>
              </w:rPr>
              <w:t>线路用管</w:t>
            </w:r>
          </w:p>
          <w:p>
            <w:pPr>
              <w:spacing w:line="460" w:lineRule="exact"/>
              <w:ind w:firstLine="482" w:firstLineChars="200"/>
              <w:rPr>
                <w:b/>
                <w:bCs/>
                <w:iCs/>
                <w:sz w:val="24"/>
              </w:rPr>
            </w:pPr>
            <w:r>
              <w:rPr>
                <w:rFonts w:hint="eastAsia"/>
                <w:b/>
                <w:bCs/>
                <w:iCs/>
                <w:sz w:val="24"/>
              </w:rPr>
              <w:t>环评：</w:t>
            </w:r>
          </w:p>
          <w:p>
            <w:pPr>
              <w:spacing w:line="460" w:lineRule="exact"/>
              <w:ind w:firstLine="480" w:firstLineChars="200"/>
              <w:rPr>
                <w:bCs/>
                <w:iCs/>
                <w:color w:val="FF0000"/>
                <w:sz w:val="24"/>
              </w:rPr>
            </w:pPr>
            <w:r>
              <w:rPr>
                <w:bCs/>
                <w:iCs/>
                <w:color w:val="000000" w:themeColor="text1"/>
                <w:sz w:val="24"/>
              </w:rPr>
              <w:t>本项目</w:t>
            </w:r>
            <w:r>
              <w:rPr>
                <w:rFonts w:hint="eastAsia"/>
                <w:bCs/>
                <w:iCs/>
                <w:color w:val="000000" w:themeColor="text1"/>
                <w:sz w:val="24"/>
              </w:rPr>
              <w:t>全线</w:t>
            </w:r>
            <w:r>
              <w:rPr>
                <w:bCs/>
                <w:iCs/>
                <w:color w:val="000000" w:themeColor="text1"/>
                <w:sz w:val="24"/>
              </w:rPr>
              <w:t>采用 D</w:t>
            </w:r>
            <w:r>
              <w:rPr>
                <w:rFonts w:hint="eastAsia"/>
                <w:bCs/>
                <w:iCs/>
                <w:color w:val="000000" w:themeColor="text1"/>
                <w:sz w:val="24"/>
              </w:rPr>
              <w:t>219.1</w:t>
            </w:r>
            <w:r>
              <w:rPr>
                <w:bCs/>
                <w:iCs/>
                <w:color w:val="000000" w:themeColor="text1"/>
                <w:sz w:val="24"/>
              </w:rPr>
              <w:t>×</w:t>
            </w:r>
            <w:r>
              <w:rPr>
                <w:rFonts w:hint="eastAsia"/>
                <w:bCs/>
                <w:iCs/>
                <w:color w:val="000000" w:themeColor="text1"/>
                <w:sz w:val="24"/>
              </w:rPr>
              <w:t>8.0无缝</w:t>
            </w:r>
            <w:r>
              <w:rPr>
                <w:bCs/>
                <w:iCs/>
                <w:color w:val="000000" w:themeColor="text1"/>
                <w:sz w:val="24"/>
              </w:rPr>
              <w:t>钢管</w:t>
            </w:r>
            <w:r>
              <w:rPr>
                <w:sz w:val="24"/>
              </w:rPr>
              <w:t>作为本项目线路、穿越等级公路、特殊地段、热煨弯头以及冷弯弯管的用管。</w:t>
            </w:r>
          </w:p>
          <w:p>
            <w:pPr>
              <w:pStyle w:val="101"/>
              <w:spacing w:line="440" w:lineRule="exact"/>
              <w:ind w:firstLine="480"/>
              <w:rPr>
                <w:rFonts w:ascii="Times New Roman" w:hAnsi="Times New Roman"/>
                <w:position w:val="0"/>
                <w:sz w:val="24"/>
              </w:rPr>
            </w:pPr>
            <w:r>
              <w:rPr>
                <w:rFonts w:ascii="Times New Roman" w:hAnsi="Times New Roman"/>
                <w:position w:val="0"/>
                <w:sz w:val="24"/>
              </w:rPr>
              <w:t>站外管道均采用三层PE加强级外防腐层。本工程D219.1管道挤塑聚乙烯防腐层总厚度普通级≥2.2mm；加强级≥2.9 mm。补口采用带环氧底漆的三层结构辐射交联聚乙烯热收缩套（带）、补伤采用辐射交联聚乙烯补伤片；热煨弯头采用热煨弯头防腐，采用热收缩套包覆方式。与线路管道管径一致的站内埋地管道防腐采用三层PE加强级，其余管径的埋地管道采用聚乙烯胶粘带防腐。露空管道与设备采用涂料防腐</w:t>
            </w:r>
            <w:r>
              <w:rPr>
                <w:rFonts w:hint="eastAsia" w:ascii="Times New Roman" w:hAnsi="Times New Roman"/>
                <w:position w:val="0"/>
                <w:sz w:val="24"/>
              </w:rPr>
              <w:t>。</w:t>
            </w:r>
            <w:r>
              <w:rPr>
                <w:rFonts w:hint="eastAsia"/>
                <w:sz w:val="24"/>
              </w:rPr>
              <w:t>。</w:t>
            </w:r>
          </w:p>
          <w:p>
            <w:pPr>
              <w:spacing w:line="460" w:lineRule="exact"/>
              <w:ind w:firstLine="482" w:firstLineChars="200"/>
              <w:rPr>
                <w:b/>
                <w:bCs/>
                <w:iCs/>
                <w:sz w:val="24"/>
              </w:rPr>
            </w:pPr>
            <w:r>
              <w:rPr>
                <w:rFonts w:hint="eastAsia"/>
                <w:b/>
                <w:bCs/>
                <w:iCs/>
                <w:sz w:val="24"/>
              </w:rPr>
              <w:t>实际</w:t>
            </w:r>
            <w:r>
              <w:rPr>
                <w:b/>
                <w:bCs/>
                <w:iCs/>
                <w:sz w:val="24"/>
              </w:rPr>
              <w:t>调查：</w:t>
            </w:r>
          </w:p>
          <w:p>
            <w:pPr>
              <w:spacing w:line="460" w:lineRule="exact"/>
              <w:ind w:firstLine="480" w:firstLineChars="200"/>
              <w:rPr>
                <w:bCs/>
                <w:iCs/>
                <w:color w:val="FF0000"/>
                <w:sz w:val="24"/>
              </w:rPr>
            </w:pPr>
            <w:r>
              <w:rPr>
                <w:bCs/>
                <w:iCs/>
                <w:sz w:val="24"/>
              </w:rPr>
              <w:t>经调查，</w:t>
            </w:r>
            <w:r>
              <w:rPr>
                <w:sz w:val="24"/>
              </w:rPr>
              <w:t>线路用管</w:t>
            </w:r>
            <w:r>
              <w:rPr>
                <w:bCs/>
                <w:iCs/>
                <w:sz w:val="24"/>
              </w:rPr>
              <w:t>与环评一致。</w:t>
            </w:r>
            <w:r>
              <w:rPr>
                <w:sz w:val="24"/>
              </w:rPr>
              <w:t>高速公路穿越采用顶管加保护套管的方式</w:t>
            </w:r>
            <w:r>
              <w:rPr>
                <w:rFonts w:hint="eastAsia"/>
                <w:sz w:val="24"/>
              </w:rPr>
              <w:t>，</w:t>
            </w:r>
            <w:r>
              <w:rPr>
                <w:sz w:val="24"/>
              </w:rPr>
              <w:t>县级以下公路采用开挖直埋或顶管加保护套的穿越方式</w:t>
            </w:r>
            <w:r>
              <w:rPr>
                <w:rFonts w:hint="eastAsia"/>
                <w:sz w:val="24"/>
              </w:rPr>
              <w:t>，</w:t>
            </w:r>
            <w:r>
              <w:rPr>
                <w:sz w:val="24"/>
              </w:rPr>
              <w:t>河流采取大开挖</w:t>
            </w:r>
            <w:r>
              <w:rPr>
                <w:rFonts w:hint="eastAsia"/>
                <w:sz w:val="24"/>
              </w:rPr>
              <w:t>的</w:t>
            </w:r>
            <w:r>
              <w:rPr>
                <w:sz w:val="24"/>
              </w:rPr>
              <w:t>穿越</w:t>
            </w:r>
            <w:r>
              <w:rPr>
                <w:rFonts w:hint="eastAsia"/>
                <w:sz w:val="24"/>
              </w:rPr>
              <w:t>方式。</w:t>
            </w:r>
          </w:p>
          <w:p>
            <w:pPr>
              <w:spacing w:line="460" w:lineRule="exact"/>
              <w:ind w:firstLine="480" w:firstLineChars="200"/>
              <w:rPr>
                <w:color w:val="000000" w:themeColor="text1"/>
                <w:sz w:val="24"/>
              </w:rPr>
            </w:pPr>
            <w:r>
              <w:rPr>
                <w:color w:val="000000" w:themeColor="text1"/>
                <w:sz w:val="24"/>
              </w:rPr>
              <w:t>（2）站场</w:t>
            </w:r>
            <w:r>
              <w:rPr>
                <w:rFonts w:hint="eastAsia"/>
                <w:color w:val="000000" w:themeColor="text1"/>
                <w:sz w:val="24"/>
              </w:rPr>
              <w:t>扩建</w:t>
            </w:r>
            <w:r>
              <w:rPr>
                <w:color w:val="000000" w:themeColor="text1"/>
                <w:sz w:val="24"/>
              </w:rPr>
              <w:t>工程</w:t>
            </w:r>
          </w:p>
          <w:p>
            <w:pPr>
              <w:spacing w:line="460" w:lineRule="exact"/>
              <w:ind w:firstLine="482" w:firstLineChars="200"/>
              <w:rPr>
                <w:sz w:val="24"/>
              </w:rPr>
            </w:pPr>
            <w:r>
              <w:rPr>
                <w:b/>
                <w:sz w:val="24"/>
              </w:rPr>
              <w:t>环评：</w:t>
            </w:r>
          </w:p>
          <w:p>
            <w:pPr>
              <w:spacing w:line="440" w:lineRule="exact"/>
              <w:ind w:firstLine="480" w:firstLineChars="200"/>
              <w:rPr>
                <w:sz w:val="24"/>
              </w:rPr>
            </w:pPr>
            <w:r>
              <w:rPr>
                <w:rFonts w:hint="eastAsia" w:ascii="宋体" w:hAnsi="宋体" w:cs="宋体"/>
                <w:sz w:val="24"/>
              </w:rPr>
              <w:t>①</w:t>
            </w:r>
            <w:r>
              <w:rPr>
                <w:rFonts w:hAnsi="宋体"/>
                <w:sz w:val="24"/>
              </w:rPr>
              <w:t>保德首站扩建工程</w:t>
            </w:r>
          </w:p>
          <w:p>
            <w:pPr>
              <w:spacing w:line="460" w:lineRule="exact"/>
              <w:ind w:firstLine="480" w:firstLineChars="200"/>
              <w:rPr>
                <w:bCs/>
                <w:iCs/>
                <w:sz w:val="24"/>
              </w:rPr>
            </w:pPr>
            <w:r>
              <w:rPr>
                <w:sz w:val="24"/>
              </w:rPr>
              <w:t>本工程在已建保德首站内扩建相应的工艺装置区和出站区</w:t>
            </w:r>
            <w:r>
              <w:rPr>
                <w:bCs/>
                <w:iCs/>
                <w:sz w:val="24"/>
              </w:rPr>
              <w:t>。</w:t>
            </w:r>
          </w:p>
          <w:p>
            <w:pPr>
              <w:spacing w:line="460" w:lineRule="exact"/>
              <w:ind w:firstLine="480" w:firstLineChars="200"/>
              <w:rPr>
                <w:sz w:val="24"/>
              </w:rPr>
            </w:pPr>
            <w:r>
              <w:rPr>
                <w:rFonts w:hint="eastAsia" w:ascii="宋体" w:hAnsi="宋体" w:cs="宋体"/>
                <w:sz w:val="24"/>
              </w:rPr>
              <w:t>②</w:t>
            </w:r>
            <w:r>
              <w:rPr>
                <w:sz w:val="24"/>
              </w:rPr>
              <w:t>站场工艺及设备</w:t>
            </w:r>
          </w:p>
          <w:p>
            <w:pPr>
              <w:spacing w:line="440" w:lineRule="exact"/>
              <w:ind w:firstLine="480" w:firstLineChars="200"/>
              <w:rPr>
                <w:sz w:val="24"/>
              </w:rPr>
            </w:pPr>
            <w:r>
              <w:rPr>
                <w:sz w:val="24"/>
              </w:rPr>
              <w:t>a.煤层气计量；</w:t>
            </w:r>
          </w:p>
          <w:p>
            <w:pPr>
              <w:spacing w:line="440" w:lineRule="exact"/>
              <w:ind w:firstLine="480" w:firstLineChars="200"/>
              <w:rPr>
                <w:sz w:val="24"/>
              </w:rPr>
            </w:pPr>
            <w:r>
              <w:rPr>
                <w:sz w:val="24"/>
              </w:rPr>
              <w:t>b.出站煤层气流量调节；</w:t>
            </w:r>
          </w:p>
          <w:p>
            <w:pPr>
              <w:spacing w:line="440" w:lineRule="exact"/>
              <w:ind w:firstLine="480" w:firstLineChars="200"/>
              <w:rPr>
                <w:sz w:val="24"/>
              </w:rPr>
            </w:pPr>
            <w:r>
              <w:rPr>
                <w:sz w:val="24"/>
              </w:rPr>
              <w:t>c.向下游站场发送清管器/球；</w:t>
            </w:r>
          </w:p>
          <w:p>
            <w:pPr>
              <w:spacing w:line="440" w:lineRule="exact"/>
              <w:ind w:firstLine="480" w:firstLineChars="200"/>
              <w:rPr>
                <w:sz w:val="24"/>
              </w:rPr>
            </w:pPr>
            <w:r>
              <w:rPr>
                <w:sz w:val="24"/>
              </w:rPr>
              <w:t>d.出站超压报警截断；</w:t>
            </w:r>
          </w:p>
          <w:p>
            <w:pPr>
              <w:spacing w:line="440" w:lineRule="exact"/>
              <w:ind w:firstLine="480" w:firstLineChars="200"/>
              <w:rPr>
                <w:sz w:val="24"/>
              </w:rPr>
            </w:pPr>
            <w:r>
              <w:rPr>
                <w:sz w:val="24"/>
              </w:rPr>
              <w:t>e.下游管线破裂时出站天然气紧急截断；</w:t>
            </w:r>
          </w:p>
          <w:p>
            <w:pPr>
              <w:spacing w:line="440" w:lineRule="exact"/>
              <w:ind w:firstLine="480" w:firstLineChars="200"/>
              <w:rPr>
                <w:sz w:val="24"/>
              </w:rPr>
            </w:pPr>
            <w:r>
              <w:rPr>
                <w:sz w:val="24"/>
              </w:rPr>
              <w:t>f.站内事故及检修时天然气的放空。</w:t>
            </w:r>
          </w:p>
          <w:p>
            <w:pPr>
              <w:pStyle w:val="86"/>
              <w:ind w:firstLine="480"/>
              <w:rPr>
                <w:rFonts w:cs="Times New Roman"/>
              </w:rPr>
            </w:pPr>
            <w:r>
              <w:t>保德首站扩建主要工艺设备</w:t>
            </w:r>
            <w:r>
              <w:rPr>
                <w:rFonts w:cs="Times New Roman"/>
              </w:rPr>
              <w:t>见表4-</w:t>
            </w:r>
            <w:r>
              <w:rPr>
                <w:rFonts w:hint="eastAsia" w:cs="Times New Roman"/>
              </w:rPr>
              <w:t>3</w:t>
            </w:r>
            <w:r>
              <w:rPr>
                <w:rFonts w:cs="Times New Roman"/>
              </w:rPr>
              <w:t>。</w:t>
            </w:r>
          </w:p>
          <w:p>
            <w:pPr>
              <w:spacing w:line="460" w:lineRule="exact"/>
              <w:jc w:val="center"/>
              <w:rPr>
                <w:rFonts w:eastAsiaTheme="minorEastAsia"/>
                <w:b/>
                <w:szCs w:val="21"/>
              </w:rPr>
            </w:pPr>
            <w:r>
              <w:rPr>
                <w:rFonts w:hAnsiTheme="minorEastAsia" w:eastAsiaTheme="minorEastAsia"/>
                <w:b/>
                <w:szCs w:val="21"/>
              </w:rPr>
              <w:t>表</w:t>
            </w:r>
            <w:r>
              <w:rPr>
                <w:rFonts w:eastAsiaTheme="minorEastAsia"/>
                <w:b/>
                <w:szCs w:val="21"/>
              </w:rPr>
              <w:t>4-3</w:t>
            </w:r>
            <w:r>
              <w:rPr>
                <w:rFonts w:hAnsiTheme="minorEastAsia" w:eastAsiaTheme="minorEastAsia"/>
                <w:b/>
                <w:szCs w:val="21"/>
              </w:rPr>
              <w:t>保德首站扩建主要设备表</w:t>
            </w:r>
          </w:p>
          <w:tbl>
            <w:tblPr>
              <w:tblStyle w:val="3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3646"/>
              <w:gridCol w:w="1416"/>
              <w:gridCol w:w="1560"/>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Merge w:val="restart"/>
                  <w:vAlign w:val="center"/>
                </w:tcPr>
                <w:p>
                  <w:pPr>
                    <w:pStyle w:val="39"/>
                  </w:pPr>
                  <w:r>
                    <w:t>序号</w:t>
                  </w:r>
                </w:p>
              </w:tc>
              <w:tc>
                <w:tcPr>
                  <w:tcW w:w="6622" w:type="dxa"/>
                  <w:gridSpan w:val="3"/>
                  <w:vAlign w:val="center"/>
                </w:tcPr>
                <w:p>
                  <w:pPr>
                    <w:pStyle w:val="39"/>
                  </w:pPr>
                  <w:r>
                    <w:rPr>
                      <w:rFonts w:hint="eastAsia"/>
                    </w:rPr>
                    <w:t>环评</w:t>
                  </w:r>
                </w:p>
              </w:tc>
              <w:tc>
                <w:tcPr>
                  <w:tcW w:w="1666" w:type="dxa"/>
                  <w:vMerge w:val="restart"/>
                  <w:vAlign w:val="center"/>
                </w:tcPr>
                <w:p>
                  <w:pPr>
                    <w:pStyle w:val="39"/>
                  </w:pPr>
                  <w:r>
                    <w:rPr>
                      <w:rFonts w:hint="eastAsia"/>
                    </w:rPr>
                    <w:t>实际调查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Merge w:val="continue"/>
                  <w:vAlign w:val="center"/>
                </w:tcPr>
                <w:p>
                  <w:pPr>
                    <w:pStyle w:val="39"/>
                  </w:pPr>
                </w:p>
              </w:tc>
              <w:tc>
                <w:tcPr>
                  <w:tcW w:w="3646" w:type="dxa"/>
                  <w:vAlign w:val="center"/>
                </w:tcPr>
                <w:p>
                  <w:pPr>
                    <w:pStyle w:val="39"/>
                  </w:pPr>
                  <w:r>
                    <w:t>规格型号</w:t>
                  </w:r>
                </w:p>
              </w:tc>
              <w:tc>
                <w:tcPr>
                  <w:tcW w:w="1416" w:type="dxa"/>
                  <w:vAlign w:val="center"/>
                </w:tcPr>
                <w:p>
                  <w:pPr>
                    <w:pStyle w:val="39"/>
                  </w:pPr>
                  <w:r>
                    <w:t>单位</w:t>
                  </w:r>
                </w:p>
              </w:tc>
              <w:tc>
                <w:tcPr>
                  <w:tcW w:w="1560" w:type="dxa"/>
                  <w:vAlign w:val="center"/>
                </w:tcPr>
                <w:p>
                  <w:pPr>
                    <w:pStyle w:val="39"/>
                  </w:pPr>
                  <w:r>
                    <w:t>数量</w:t>
                  </w:r>
                </w:p>
              </w:tc>
              <w:tc>
                <w:tcPr>
                  <w:tcW w:w="1666" w:type="dxa"/>
                  <w:vMerge w:val="continue"/>
                  <w:vAlign w:val="center"/>
                </w:tcPr>
                <w:p>
                  <w:pPr>
                    <w:pStyle w:val="3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r>
                    <w:t>1</w:t>
                  </w:r>
                </w:p>
              </w:tc>
              <w:tc>
                <w:tcPr>
                  <w:tcW w:w="3646" w:type="dxa"/>
                  <w:vAlign w:val="center"/>
                </w:tcPr>
                <w:p>
                  <w:pPr>
                    <w:pStyle w:val="39"/>
                  </w:pPr>
                  <w:r>
                    <w:rPr>
                      <w:rFonts w:hAnsi="宋体"/>
                    </w:rPr>
                    <w:t>清管器发送装置</w:t>
                  </w:r>
                  <w:r>
                    <w:t>PN6.3MPa DN200</w:t>
                  </w:r>
                </w:p>
              </w:tc>
              <w:tc>
                <w:tcPr>
                  <w:tcW w:w="1416" w:type="dxa"/>
                  <w:vAlign w:val="center"/>
                </w:tcPr>
                <w:p>
                  <w:pPr>
                    <w:pStyle w:val="39"/>
                  </w:pPr>
                  <w:r>
                    <w:t>台</w:t>
                  </w:r>
                </w:p>
              </w:tc>
              <w:tc>
                <w:tcPr>
                  <w:tcW w:w="1560" w:type="dxa"/>
                  <w:vAlign w:val="center"/>
                </w:tcPr>
                <w:p>
                  <w:pPr>
                    <w:pStyle w:val="39"/>
                  </w:pPr>
                  <w:r>
                    <w:t>1</w:t>
                  </w:r>
                </w:p>
              </w:tc>
              <w:tc>
                <w:tcPr>
                  <w:tcW w:w="1666" w:type="dxa"/>
                  <w:vAlign w:val="center"/>
                </w:tcPr>
                <w:p>
                  <w:pPr>
                    <w:pStyle w:val="39"/>
                  </w:pPr>
                  <w:r>
                    <w:rPr>
                      <w:rFonts w:hint="eastAsi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r>
                    <w:t>2</w:t>
                  </w:r>
                </w:p>
              </w:tc>
              <w:tc>
                <w:tcPr>
                  <w:tcW w:w="3646" w:type="dxa"/>
                  <w:vAlign w:val="center"/>
                </w:tcPr>
                <w:p>
                  <w:pPr>
                    <w:pStyle w:val="39"/>
                  </w:pPr>
                  <w:r>
                    <w:t>焊接式电动球阀</w:t>
                  </w:r>
                </w:p>
              </w:tc>
              <w:tc>
                <w:tcPr>
                  <w:tcW w:w="1416" w:type="dxa"/>
                  <w:vAlign w:val="center"/>
                </w:tcPr>
                <w:p>
                  <w:pPr>
                    <w:pStyle w:val="39"/>
                  </w:pPr>
                </w:p>
              </w:tc>
              <w:tc>
                <w:tcPr>
                  <w:tcW w:w="1560" w:type="dxa"/>
                  <w:vAlign w:val="center"/>
                </w:tcPr>
                <w:p>
                  <w:pPr>
                    <w:pStyle w:val="39"/>
                  </w:pPr>
                </w:p>
              </w:tc>
              <w:tc>
                <w:tcPr>
                  <w:tcW w:w="1666" w:type="dxa"/>
                  <w:vAlign w:val="center"/>
                </w:tcPr>
                <w:p>
                  <w:pPr>
                    <w:pStyle w:val="3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DN200</w:t>
                  </w:r>
                </w:p>
              </w:tc>
              <w:tc>
                <w:tcPr>
                  <w:tcW w:w="1416" w:type="dxa"/>
                  <w:vAlign w:val="center"/>
                </w:tcPr>
                <w:p>
                  <w:pPr>
                    <w:pStyle w:val="39"/>
                  </w:pPr>
                  <w:r>
                    <w:t>只</w:t>
                  </w:r>
                </w:p>
              </w:tc>
              <w:tc>
                <w:tcPr>
                  <w:tcW w:w="1560" w:type="dxa"/>
                  <w:vAlign w:val="center"/>
                </w:tcPr>
                <w:p>
                  <w:pPr>
                    <w:pStyle w:val="39"/>
                  </w:pPr>
                  <w:r>
                    <w:t>2</w:t>
                  </w:r>
                </w:p>
              </w:tc>
              <w:tc>
                <w:tcPr>
                  <w:tcW w:w="1666" w:type="dxa"/>
                  <w:vAlign w:val="center"/>
                </w:tcPr>
                <w:p>
                  <w:pPr>
                    <w:pStyle w:val="39"/>
                  </w:pPr>
                  <w:r>
                    <w:rPr>
                      <w:rFonts w:hint="eastAsia"/>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r>
                    <w:t>3</w:t>
                  </w:r>
                </w:p>
              </w:tc>
              <w:tc>
                <w:tcPr>
                  <w:tcW w:w="3646" w:type="dxa"/>
                  <w:vAlign w:val="center"/>
                </w:tcPr>
                <w:p>
                  <w:pPr>
                    <w:pStyle w:val="39"/>
                  </w:pPr>
                  <w:r>
                    <w:t>法兰式电动球阀</w:t>
                  </w:r>
                </w:p>
              </w:tc>
              <w:tc>
                <w:tcPr>
                  <w:tcW w:w="1416" w:type="dxa"/>
                  <w:vAlign w:val="center"/>
                </w:tcPr>
                <w:p>
                  <w:pPr>
                    <w:pStyle w:val="39"/>
                  </w:pPr>
                </w:p>
              </w:tc>
              <w:tc>
                <w:tcPr>
                  <w:tcW w:w="1560" w:type="dxa"/>
                  <w:vAlign w:val="center"/>
                </w:tcPr>
                <w:p>
                  <w:pPr>
                    <w:pStyle w:val="39"/>
                  </w:pPr>
                </w:p>
              </w:tc>
              <w:tc>
                <w:tcPr>
                  <w:tcW w:w="1666" w:type="dxa"/>
                  <w:vAlign w:val="center"/>
                </w:tcPr>
                <w:p>
                  <w:pPr>
                    <w:pStyle w:val="3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DN150</w:t>
                  </w:r>
                </w:p>
              </w:tc>
              <w:tc>
                <w:tcPr>
                  <w:tcW w:w="1416" w:type="dxa"/>
                  <w:vAlign w:val="center"/>
                </w:tcPr>
                <w:p>
                  <w:pPr>
                    <w:pStyle w:val="39"/>
                  </w:pPr>
                  <w:r>
                    <w:t>只</w:t>
                  </w:r>
                </w:p>
              </w:tc>
              <w:tc>
                <w:tcPr>
                  <w:tcW w:w="1560" w:type="dxa"/>
                  <w:vAlign w:val="center"/>
                </w:tcPr>
                <w:p>
                  <w:pPr>
                    <w:pStyle w:val="39"/>
                  </w:pPr>
                  <w:r>
                    <w:t>3</w:t>
                  </w:r>
                </w:p>
              </w:tc>
              <w:tc>
                <w:tcPr>
                  <w:tcW w:w="1666" w:type="dxa"/>
                  <w:vAlign w:val="center"/>
                </w:tcPr>
                <w:p>
                  <w:pPr>
                    <w:pStyle w:val="39"/>
                  </w:pPr>
                  <w:r>
                    <w:rPr>
                      <w:rFonts w:hint="eastAsi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r>
                    <w:t>4</w:t>
                  </w:r>
                </w:p>
              </w:tc>
              <w:tc>
                <w:tcPr>
                  <w:tcW w:w="3646" w:type="dxa"/>
                  <w:vAlign w:val="center"/>
                </w:tcPr>
                <w:p>
                  <w:pPr>
                    <w:pStyle w:val="39"/>
                  </w:pPr>
                  <w:r>
                    <w:t>法兰式手动球阀</w:t>
                  </w:r>
                </w:p>
              </w:tc>
              <w:tc>
                <w:tcPr>
                  <w:tcW w:w="1416" w:type="dxa"/>
                  <w:vAlign w:val="center"/>
                </w:tcPr>
                <w:p>
                  <w:pPr>
                    <w:pStyle w:val="39"/>
                  </w:pPr>
                </w:p>
              </w:tc>
              <w:tc>
                <w:tcPr>
                  <w:tcW w:w="1560" w:type="dxa"/>
                  <w:vAlign w:val="center"/>
                </w:tcPr>
                <w:p>
                  <w:pPr>
                    <w:pStyle w:val="39"/>
                  </w:pPr>
                </w:p>
              </w:tc>
              <w:tc>
                <w:tcPr>
                  <w:tcW w:w="1666" w:type="dxa"/>
                  <w:vAlign w:val="center"/>
                </w:tcPr>
                <w:p>
                  <w:pPr>
                    <w:pStyle w:val="3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DN150</w:t>
                  </w:r>
                </w:p>
              </w:tc>
              <w:tc>
                <w:tcPr>
                  <w:tcW w:w="1416" w:type="dxa"/>
                  <w:vAlign w:val="center"/>
                </w:tcPr>
                <w:p>
                  <w:pPr>
                    <w:pStyle w:val="39"/>
                  </w:pPr>
                  <w:r>
                    <w:t>只</w:t>
                  </w:r>
                </w:p>
              </w:tc>
              <w:tc>
                <w:tcPr>
                  <w:tcW w:w="1560" w:type="dxa"/>
                  <w:vAlign w:val="center"/>
                </w:tcPr>
                <w:p>
                  <w:pPr>
                    <w:pStyle w:val="39"/>
                  </w:pPr>
                  <w:r>
                    <w:t>3</w:t>
                  </w:r>
                </w:p>
              </w:tc>
              <w:tc>
                <w:tcPr>
                  <w:tcW w:w="1666" w:type="dxa"/>
                  <w:vAlign w:val="center"/>
                </w:tcPr>
                <w:p>
                  <w:pPr>
                    <w:pStyle w:val="39"/>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DN80</w:t>
                  </w:r>
                </w:p>
              </w:tc>
              <w:tc>
                <w:tcPr>
                  <w:tcW w:w="1416" w:type="dxa"/>
                  <w:vAlign w:val="center"/>
                </w:tcPr>
                <w:p>
                  <w:pPr>
                    <w:pStyle w:val="39"/>
                  </w:pPr>
                  <w:r>
                    <w:t>只</w:t>
                  </w:r>
                </w:p>
              </w:tc>
              <w:tc>
                <w:tcPr>
                  <w:tcW w:w="1560" w:type="dxa"/>
                  <w:vAlign w:val="center"/>
                </w:tcPr>
                <w:p>
                  <w:pPr>
                    <w:pStyle w:val="39"/>
                  </w:pPr>
                  <w:r>
                    <w:t>1</w:t>
                  </w:r>
                </w:p>
              </w:tc>
              <w:tc>
                <w:tcPr>
                  <w:tcW w:w="1666" w:type="dxa"/>
                  <w:vAlign w:val="center"/>
                </w:tcPr>
                <w:p>
                  <w:pPr>
                    <w:pStyle w:val="39"/>
                  </w:pPr>
                  <w:r>
                    <w:rPr>
                      <w:rFonts w:hint="eastAsia"/>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DN50</w:t>
                  </w:r>
                </w:p>
              </w:tc>
              <w:tc>
                <w:tcPr>
                  <w:tcW w:w="1416" w:type="dxa"/>
                  <w:vAlign w:val="center"/>
                </w:tcPr>
                <w:p>
                  <w:pPr>
                    <w:pStyle w:val="39"/>
                  </w:pPr>
                  <w:r>
                    <w:t>只</w:t>
                  </w:r>
                </w:p>
              </w:tc>
              <w:tc>
                <w:tcPr>
                  <w:tcW w:w="1560" w:type="dxa"/>
                  <w:vAlign w:val="center"/>
                </w:tcPr>
                <w:p>
                  <w:pPr>
                    <w:pStyle w:val="39"/>
                  </w:pPr>
                  <w:r>
                    <w:t>3</w:t>
                  </w:r>
                </w:p>
              </w:tc>
              <w:tc>
                <w:tcPr>
                  <w:tcW w:w="1666" w:type="dxa"/>
                  <w:vAlign w:val="center"/>
                </w:tcPr>
                <w:p>
                  <w:pPr>
                    <w:pStyle w:val="39"/>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DN25</w:t>
                  </w:r>
                </w:p>
              </w:tc>
              <w:tc>
                <w:tcPr>
                  <w:tcW w:w="1416" w:type="dxa"/>
                  <w:vAlign w:val="center"/>
                </w:tcPr>
                <w:p>
                  <w:pPr>
                    <w:pStyle w:val="39"/>
                  </w:pPr>
                  <w:r>
                    <w:t>只</w:t>
                  </w:r>
                </w:p>
              </w:tc>
              <w:tc>
                <w:tcPr>
                  <w:tcW w:w="1560" w:type="dxa"/>
                  <w:vAlign w:val="center"/>
                </w:tcPr>
                <w:p>
                  <w:pPr>
                    <w:pStyle w:val="39"/>
                  </w:pPr>
                  <w:r>
                    <w:t>1</w:t>
                  </w:r>
                </w:p>
              </w:tc>
              <w:tc>
                <w:tcPr>
                  <w:tcW w:w="1666" w:type="dxa"/>
                  <w:vAlign w:val="center"/>
                </w:tcPr>
                <w:p>
                  <w:pPr>
                    <w:pStyle w:val="39"/>
                  </w:pPr>
                  <w:r>
                    <w:rPr>
                      <w:rFonts w:hint="eastAsia"/>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r>
                    <w:t>5</w:t>
                  </w:r>
                </w:p>
              </w:tc>
              <w:tc>
                <w:tcPr>
                  <w:tcW w:w="3646" w:type="dxa"/>
                  <w:vAlign w:val="center"/>
                </w:tcPr>
                <w:p>
                  <w:pPr>
                    <w:pStyle w:val="39"/>
                  </w:pPr>
                  <w:r>
                    <w:t>法兰式节流截止放空阀</w:t>
                  </w:r>
                </w:p>
              </w:tc>
              <w:tc>
                <w:tcPr>
                  <w:tcW w:w="1416" w:type="dxa"/>
                  <w:vAlign w:val="center"/>
                </w:tcPr>
                <w:p>
                  <w:pPr>
                    <w:pStyle w:val="39"/>
                  </w:pPr>
                </w:p>
              </w:tc>
              <w:tc>
                <w:tcPr>
                  <w:tcW w:w="1560" w:type="dxa"/>
                  <w:vAlign w:val="center"/>
                </w:tcPr>
                <w:p>
                  <w:pPr>
                    <w:pStyle w:val="39"/>
                  </w:pPr>
                </w:p>
              </w:tc>
              <w:tc>
                <w:tcPr>
                  <w:tcW w:w="1666" w:type="dxa"/>
                  <w:vAlign w:val="center"/>
                </w:tcPr>
                <w:p>
                  <w:pPr>
                    <w:pStyle w:val="3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DN80</w:t>
                  </w:r>
                </w:p>
              </w:tc>
              <w:tc>
                <w:tcPr>
                  <w:tcW w:w="1416" w:type="dxa"/>
                  <w:vAlign w:val="center"/>
                </w:tcPr>
                <w:p>
                  <w:pPr>
                    <w:pStyle w:val="39"/>
                  </w:pPr>
                  <w:r>
                    <w:t>只</w:t>
                  </w:r>
                </w:p>
              </w:tc>
              <w:tc>
                <w:tcPr>
                  <w:tcW w:w="1560" w:type="dxa"/>
                  <w:vAlign w:val="center"/>
                </w:tcPr>
                <w:p>
                  <w:pPr>
                    <w:pStyle w:val="39"/>
                  </w:pPr>
                  <w:r>
                    <w:t>1</w:t>
                  </w:r>
                </w:p>
              </w:tc>
              <w:tc>
                <w:tcPr>
                  <w:tcW w:w="1666" w:type="dxa"/>
                  <w:vAlign w:val="center"/>
                </w:tcPr>
                <w:p>
                  <w:pPr>
                    <w:pStyle w:val="39"/>
                  </w:pPr>
                  <w:r>
                    <w:rPr>
                      <w:rFonts w:hint="eastAsi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DN50</w:t>
                  </w:r>
                </w:p>
              </w:tc>
              <w:tc>
                <w:tcPr>
                  <w:tcW w:w="1416" w:type="dxa"/>
                  <w:vAlign w:val="center"/>
                </w:tcPr>
                <w:p>
                  <w:pPr>
                    <w:pStyle w:val="39"/>
                  </w:pPr>
                  <w:r>
                    <w:t>只</w:t>
                  </w:r>
                </w:p>
              </w:tc>
              <w:tc>
                <w:tcPr>
                  <w:tcW w:w="1560" w:type="dxa"/>
                  <w:vAlign w:val="center"/>
                </w:tcPr>
                <w:p>
                  <w:pPr>
                    <w:pStyle w:val="39"/>
                  </w:pPr>
                  <w:r>
                    <w:t>4</w:t>
                  </w:r>
                </w:p>
              </w:tc>
              <w:tc>
                <w:tcPr>
                  <w:tcW w:w="1666" w:type="dxa"/>
                  <w:vAlign w:val="center"/>
                </w:tcPr>
                <w:p>
                  <w:pPr>
                    <w:pStyle w:val="39"/>
                  </w:pPr>
                  <w:r>
                    <w:rPr>
                      <w:rFonts w:hint="eastAsi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r>
                    <w:t>6</w:t>
                  </w:r>
                </w:p>
              </w:tc>
              <w:tc>
                <w:tcPr>
                  <w:tcW w:w="3646" w:type="dxa"/>
                  <w:vAlign w:val="center"/>
                </w:tcPr>
                <w:p>
                  <w:pPr>
                    <w:pStyle w:val="39"/>
                  </w:pPr>
                  <w:r>
                    <w:t>法兰式先导式安全阀</w:t>
                  </w:r>
                </w:p>
              </w:tc>
              <w:tc>
                <w:tcPr>
                  <w:tcW w:w="1416" w:type="dxa"/>
                  <w:vAlign w:val="center"/>
                </w:tcPr>
                <w:p>
                  <w:pPr>
                    <w:pStyle w:val="39"/>
                  </w:pPr>
                </w:p>
              </w:tc>
              <w:tc>
                <w:tcPr>
                  <w:tcW w:w="1560" w:type="dxa"/>
                  <w:vAlign w:val="center"/>
                </w:tcPr>
                <w:p>
                  <w:pPr>
                    <w:pStyle w:val="39"/>
                  </w:pPr>
                </w:p>
              </w:tc>
              <w:tc>
                <w:tcPr>
                  <w:tcW w:w="1666" w:type="dxa"/>
                  <w:vAlign w:val="center"/>
                </w:tcPr>
                <w:p>
                  <w:pPr>
                    <w:pStyle w:val="3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6" w:type="dxa"/>
                  <w:vAlign w:val="center"/>
                </w:tcPr>
                <w:p>
                  <w:pPr>
                    <w:pStyle w:val="39"/>
                  </w:pPr>
                </w:p>
              </w:tc>
              <w:tc>
                <w:tcPr>
                  <w:tcW w:w="3646" w:type="dxa"/>
                  <w:vAlign w:val="center"/>
                </w:tcPr>
                <w:p>
                  <w:pPr>
                    <w:pStyle w:val="39"/>
                  </w:pPr>
                  <w:r>
                    <w:t>PN6.3MPa DN50</w:t>
                  </w:r>
                </w:p>
              </w:tc>
              <w:tc>
                <w:tcPr>
                  <w:tcW w:w="1416" w:type="dxa"/>
                  <w:vAlign w:val="center"/>
                </w:tcPr>
                <w:p>
                  <w:pPr>
                    <w:pStyle w:val="39"/>
                  </w:pPr>
                  <w:r>
                    <w:t>只</w:t>
                  </w:r>
                </w:p>
              </w:tc>
              <w:tc>
                <w:tcPr>
                  <w:tcW w:w="1560" w:type="dxa"/>
                  <w:vAlign w:val="center"/>
                </w:tcPr>
                <w:p>
                  <w:pPr>
                    <w:pStyle w:val="39"/>
                  </w:pPr>
                  <w:r>
                    <w:t>1</w:t>
                  </w:r>
                </w:p>
              </w:tc>
              <w:tc>
                <w:tcPr>
                  <w:tcW w:w="1666" w:type="dxa"/>
                  <w:vAlign w:val="center"/>
                </w:tcPr>
                <w:p>
                  <w:pPr>
                    <w:pStyle w:val="39"/>
                  </w:pPr>
                  <w:r>
                    <w:rPr>
                      <w:rFonts w:hint="eastAsia"/>
                    </w:rPr>
                    <w:t>2</w:t>
                  </w:r>
                </w:p>
              </w:tc>
            </w:tr>
          </w:tbl>
          <w:p>
            <w:pPr>
              <w:spacing w:line="460" w:lineRule="exact"/>
              <w:ind w:firstLine="480" w:firstLineChars="200"/>
              <w:rPr>
                <w:bCs/>
                <w:iCs/>
                <w:sz w:val="24"/>
                <w:lang w:val="de-DE"/>
              </w:rPr>
            </w:pPr>
            <w:r>
              <w:rPr>
                <w:rFonts w:hint="eastAsia"/>
                <w:bCs/>
                <w:iCs/>
                <w:sz w:val="24"/>
                <w:lang w:val="de-DE"/>
              </w:rPr>
              <w:t>③</w:t>
            </w:r>
            <w:r>
              <w:rPr>
                <w:rFonts w:hint="eastAsia"/>
                <w:bCs/>
                <w:iCs/>
                <w:sz w:val="24"/>
              </w:rPr>
              <w:t>输送介质及运行参数</w:t>
            </w:r>
          </w:p>
          <w:p>
            <w:pPr>
              <w:pStyle w:val="86"/>
              <w:ind w:firstLine="480"/>
            </w:pPr>
            <w:r>
              <w:rPr>
                <w:rFonts w:hint="eastAsia"/>
              </w:rPr>
              <w:t>本工程的目的是将</w:t>
            </w:r>
            <w:r>
              <w:rPr>
                <w:rFonts w:hAnsi="宋体"/>
              </w:rPr>
              <w:t>保德首站的煤层气输送至保德煤层气热电厂，作为保德煤层气热电厂发电和供暖的气源管线。根据山西天然气有限公司提供的参数，保德煤层气热电厂的用气规模为</w:t>
            </w:r>
            <w:r>
              <w:t>50×10</w:t>
            </w:r>
            <w:r>
              <w:rPr>
                <w:vertAlign w:val="superscript"/>
              </w:rPr>
              <w:t>4</w:t>
            </w:r>
            <w:r>
              <w:t>Nm</w:t>
            </w:r>
            <w:r>
              <w:rPr>
                <w:vertAlign w:val="superscript"/>
              </w:rPr>
              <w:t>3</w:t>
            </w:r>
            <w:r>
              <w:t>/d</w:t>
            </w:r>
            <w:r>
              <w:rPr>
                <w:rFonts w:hAnsi="宋体"/>
              </w:rPr>
              <w:t>。</w:t>
            </w:r>
          </w:p>
          <w:p>
            <w:pPr>
              <w:pStyle w:val="86"/>
              <w:ind w:firstLine="480"/>
            </w:pPr>
            <w:r>
              <w:rPr>
                <w:rFonts w:hAnsi="宋体"/>
              </w:rPr>
              <w:t>本项目接气源为中石油保德片区的煤层气，接气点为保德首站三甘醇脱水装置后的预留接口。目前，保德首站</w:t>
            </w:r>
            <w:r>
              <w:rPr>
                <w:rFonts w:hint="eastAsia" w:hAnsi="宋体"/>
              </w:rPr>
              <w:t>主要</w:t>
            </w:r>
            <w:r>
              <w:rPr>
                <w:rFonts w:hAnsi="宋体"/>
              </w:rPr>
              <w:t>接收</w:t>
            </w:r>
            <w:r>
              <w:rPr>
                <w:rFonts w:hint="eastAsia" w:hAnsi="宋体"/>
              </w:rPr>
              <w:t>中石油</w:t>
            </w:r>
            <w:r>
              <w:rPr>
                <w:rFonts w:hAnsi="宋体"/>
              </w:rPr>
              <w:t>保</w:t>
            </w:r>
            <w:r>
              <w:t>2</w:t>
            </w:r>
            <w:r>
              <w:rPr>
                <w:rFonts w:hint="eastAsia"/>
              </w:rPr>
              <w:t>集气</w:t>
            </w:r>
            <w:r>
              <w:rPr>
                <w:rFonts w:hAnsi="宋体"/>
              </w:rPr>
              <w:t>站，保</w:t>
            </w:r>
            <w:r>
              <w:t>3</w:t>
            </w:r>
            <w:r>
              <w:rPr>
                <w:rFonts w:hint="eastAsia"/>
              </w:rPr>
              <w:t>集气</w:t>
            </w:r>
            <w:r>
              <w:rPr>
                <w:rFonts w:hAnsi="宋体"/>
              </w:rPr>
              <w:t>站和保</w:t>
            </w:r>
            <w:r>
              <w:t>4</w:t>
            </w:r>
            <w:r>
              <w:rPr>
                <w:rFonts w:hint="eastAsia"/>
              </w:rPr>
              <w:t>集气</w:t>
            </w:r>
            <w:r>
              <w:rPr>
                <w:rFonts w:hAnsi="宋体"/>
              </w:rPr>
              <w:t>站的煤层气，已建保</w:t>
            </w:r>
            <w:r>
              <w:t>2</w:t>
            </w:r>
            <w:r>
              <w:rPr>
                <w:rFonts w:hAnsi="宋体"/>
              </w:rPr>
              <w:t>站日处理规模为</w:t>
            </w:r>
            <w:r>
              <w:t>50</w:t>
            </w:r>
            <w:r>
              <w:rPr>
                <w:rFonts w:hAnsi="宋体"/>
              </w:rPr>
              <w:t>万方，在建的保</w:t>
            </w:r>
            <w:r>
              <w:t>3</w:t>
            </w:r>
            <w:r>
              <w:rPr>
                <w:rFonts w:hAnsi="宋体"/>
              </w:rPr>
              <w:t>站日处理规模为</w:t>
            </w:r>
            <w:r>
              <w:t>80</w:t>
            </w:r>
            <w:r>
              <w:rPr>
                <w:rFonts w:hAnsi="宋体"/>
              </w:rPr>
              <w:t>万方，保</w:t>
            </w:r>
            <w:r>
              <w:t>4</w:t>
            </w:r>
            <w:r>
              <w:rPr>
                <w:rFonts w:hAnsi="宋体"/>
              </w:rPr>
              <w:t>站日处理规模为</w:t>
            </w:r>
            <w:r>
              <w:t>70</w:t>
            </w:r>
            <w:r>
              <w:rPr>
                <w:rFonts w:hAnsi="宋体"/>
              </w:rPr>
              <w:t>万方。</w:t>
            </w:r>
          </w:p>
          <w:p>
            <w:pPr>
              <w:pStyle w:val="86"/>
              <w:ind w:firstLine="482"/>
              <w:rPr>
                <w:b/>
              </w:rPr>
            </w:pPr>
            <w:r>
              <w:rPr>
                <w:b/>
              </w:rPr>
              <w:t>实际调查：</w:t>
            </w:r>
          </w:p>
          <w:p>
            <w:pPr>
              <w:spacing w:line="460" w:lineRule="exact"/>
              <w:ind w:firstLine="480" w:firstLineChars="200"/>
              <w:rPr>
                <w:sz w:val="24"/>
              </w:rPr>
            </w:pPr>
            <w:r>
              <w:rPr>
                <w:rFonts w:hint="eastAsia" w:ascii="宋体" w:hAnsi="宋体" w:cs="宋体"/>
                <w:sz w:val="24"/>
              </w:rPr>
              <w:t>①</w:t>
            </w:r>
            <w:r>
              <w:rPr>
                <w:rFonts w:hint="eastAsia"/>
                <w:sz w:val="24"/>
              </w:rPr>
              <w:t>保德首站扩建工程</w:t>
            </w:r>
          </w:p>
          <w:p>
            <w:pPr>
              <w:spacing w:line="460" w:lineRule="exact"/>
              <w:ind w:firstLine="480" w:firstLineChars="200"/>
              <w:rPr>
                <w:bCs/>
                <w:iCs/>
                <w:sz w:val="24"/>
              </w:rPr>
            </w:pPr>
            <w:r>
              <w:rPr>
                <w:bCs/>
                <w:iCs/>
                <w:sz w:val="24"/>
              </w:rPr>
              <w:t>经调查，</w:t>
            </w:r>
            <w:r>
              <w:rPr>
                <w:rFonts w:hint="eastAsia"/>
                <w:bCs/>
                <w:iCs/>
                <w:sz w:val="24"/>
              </w:rPr>
              <w:t>保德首站扩建工程与环评一致。</w:t>
            </w:r>
          </w:p>
          <w:p>
            <w:pPr>
              <w:spacing w:line="460" w:lineRule="exact"/>
              <w:ind w:firstLine="480" w:firstLineChars="200"/>
              <w:rPr>
                <w:sz w:val="24"/>
              </w:rPr>
            </w:pPr>
            <w:r>
              <w:rPr>
                <w:rFonts w:hint="eastAsia" w:ascii="宋体" w:hAnsi="宋体" w:cs="宋体"/>
                <w:sz w:val="24"/>
              </w:rPr>
              <w:t>②</w:t>
            </w:r>
            <w:r>
              <w:rPr>
                <w:sz w:val="24"/>
              </w:rPr>
              <w:t>站场工艺及设备</w:t>
            </w:r>
          </w:p>
          <w:p>
            <w:pPr>
              <w:pStyle w:val="86"/>
              <w:ind w:firstLine="480"/>
              <w:rPr>
                <w:rFonts w:cs="Times New Roman"/>
              </w:rPr>
            </w:pPr>
            <w:r>
              <w:rPr>
                <w:rFonts w:cs="Times New Roman"/>
              </w:rPr>
              <w:t>经验收调查，站场设置、工艺均与环评一致</w:t>
            </w:r>
            <w:r>
              <w:rPr>
                <w:rFonts w:hint="eastAsia" w:cs="Times New Roman"/>
              </w:rPr>
              <w:t>。设备实际情况见表</w:t>
            </w:r>
            <w:r>
              <w:rPr>
                <w:rFonts w:cs="Times New Roman"/>
              </w:rPr>
              <w:t>4-</w:t>
            </w:r>
            <w:r>
              <w:rPr>
                <w:rFonts w:hint="eastAsia" w:cs="Times New Roman"/>
              </w:rPr>
              <w:t>3</w:t>
            </w:r>
            <w:r>
              <w:rPr>
                <w:rFonts w:cs="Times New Roman"/>
              </w:rPr>
              <w:t>。</w:t>
            </w:r>
          </w:p>
          <w:p>
            <w:pPr>
              <w:pStyle w:val="86"/>
              <w:ind w:firstLine="480"/>
              <w:rPr>
                <w:rFonts w:cs="Times New Roman"/>
                <w:bCs/>
                <w:iCs/>
              </w:rPr>
            </w:pPr>
            <w:r>
              <w:rPr>
                <w:rFonts w:hint="eastAsia" w:cs="Times New Roman"/>
                <w:bCs/>
                <w:iCs/>
              </w:rPr>
              <w:t>③输送介质及运行参数</w:t>
            </w:r>
          </w:p>
          <w:p>
            <w:pPr>
              <w:pStyle w:val="86"/>
              <w:ind w:firstLine="480"/>
              <w:rPr>
                <w:rFonts w:cs="Times New Roman"/>
                <w:bCs/>
                <w:iCs/>
              </w:rPr>
            </w:pPr>
            <w:r>
              <w:rPr>
                <w:rFonts w:hint="eastAsia" w:cs="Times New Roman"/>
                <w:bCs/>
                <w:iCs/>
              </w:rPr>
              <w:t>输送介质组成、</w:t>
            </w:r>
            <w:r>
              <w:rPr>
                <w:rFonts w:cs="Times New Roman"/>
                <w:bCs/>
                <w:iCs/>
              </w:rPr>
              <w:t>性质与环评一致。</w:t>
            </w:r>
          </w:p>
          <w:p>
            <w:r>
              <w:drawing>
                <wp:anchor distT="0" distB="0" distL="114300" distR="114300" simplePos="0" relativeHeight="251698176" behindDoc="0" locked="0" layoutInCell="1" allowOverlap="1">
                  <wp:simplePos x="0" y="0"/>
                  <wp:positionH relativeFrom="column">
                    <wp:posOffset>3063240</wp:posOffset>
                  </wp:positionH>
                  <wp:positionV relativeFrom="paragraph">
                    <wp:posOffset>172720</wp:posOffset>
                  </wp:positionV>
                  <wp:extent cx="2705100" cy="4010025"/>
                  <wp:effectExtent l="19050" t="0" r="0" b="0"/>
                  <wp:wrapNone/>
                  <wp:docPr id="1" name="图片 7" descr="C:\Users\lenovo\AppData\Roaming\Tencent\Users\346914618\QQ\WinTemp\RichOle\90RG_WES0B)1(I3(_3LVW1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descr="C:\Users\lenovo\AppData\Roaming\Tencent\Users\346914618\QQ\WinTemp\RichOle\90RG_WES0B)1(I3(_3LVW1S.png"/>
                          <pic:cNvPicPr>
                            <a:picLocks noChangeAspect="1" noChangeArrowheads="1"/>
                          </pic:cNvPicPr>
                        </pic:nvPicPr>
                        <pic:blipFill>
                          <a:blip r:embed="rId7" cstate="print"/>
                          <a:srcRect/>
                          <a:stretch>
                            <a:fillRect/>
                          </a:stretch>
                        </pic:blipFill>
                        <pic:spPr>
                          <a:xfrm>
                            <a:off x="0" y="0"/>
                            <a:ext cx="2705100" cy="4010025"/>
                          </a:xfrm>
                          <a:prstGeom prst="rect">
                            <a:avLst/>
                          </a:prstGeom>
                          <a:noFill/>
                          <a:ln w="9525">
                            <a:noFill/>
                            <a:miter lim="800000"/>
                            <a:headEnd/>
                            <a:tailEnd/>
                          </a:ln>
                        </pic:spPr>
                      </pic:pic>
                    </a:graphicData>
                  </a:graphic>
                </wp:anchor>
              </w:drawing>
            </w:r>
            <w:r>
              <w:drawing>
                <wp:anchor distT="0" distB="0" distL="114300" distR="114300" simplePos="0" relativeHeight="251697152" behindDoc="0" locked="0" layoutInCell="1" allowOverlap="1">
                  <wp:simplePos x="0" y="0"/>
                  <wp:positionH relativeFrom="column">
                    <wp:posOffset>148590</wp:posOffset>
                  </wp:positionH>
                  <wp:positionV relativeFrom="paragraph">
                    <wp:posOffset>172720</wp:posOffset>
                  </wp:positionV>
                  <wp:extent cx="2705100" cy="1838325"/>
                  <wp:effectExtent l="19050" t="0" r="0" b="0"/>
                  <wp:wrapNone/>
                  <wp:docPr id="3" name="图片 3" descr="C:\Users\lenovo\AppData\Roaming\Tencent\Users\346914618\QQ\WinTemp\RichOle\{IY0%(HKDD7YX~KXN35HYH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enovo\AppData\Roaming\Tencent\Users\346914618\QQ\WinTemp\RichOle\{IY0%(HKDD7YX~KXN35HYHM.png"/>
                          <pic:cNvPicPr>
                            <a:picLocks noChangeAspect="1" noChangeArrowheads="1"/>
                          </pic:cNvPicPr>
                        </pic:nvPicPr>
                        <pic:blipFill>
                          <a:blip r:embed="rId8" cstate="print"/>
                          <a:srcRect/>
                          <a:stretch>
                            <a:fillRect/>
                          </a:stretch>
                        </pic:blipFill>
                        <pic:spPr>
                          <a:xfrm>
                            <a:off x="0" y="0"/>
                            <a:ext cx="2705100" cy="1838325"/>
                          </a:xfrm>
                          <a:prstGeom prst="rect">
                            <a:avLst/>
                          </a:prstGeom>
                          <a:noFill/>
                          <a:ln w="9525">
                            <a:noFill/>
                            <a:miter lim="800000"/>
                            <a:headEnd/>
                            <a:tailEnd/>
                          </a:ln>
                        </pic:spPr>
                      </pic:pic>
                    </a:graphicData>
                  </a:graphic>
                </wp:anchor>
              </w:drawing>
            </w:r>
            <w:r>
              <w:t xml:space="preserve"> </w:t>
            </w:r>
          </w:p>
          <w:p/>
          <w:p/>
          <w:p/>
          <w:p/>
          <w:p/>
          <w:p/>
          <w:p/>
          <w:p/>
          <w:p>
            <w:pPr>
              <w:rPr>
                <w:rFonts w:ascii="宋体" w:hAnsi="宋体" w:cs="宋体"/>
                <w:kern w:val="0"/>
                <w:sz w:val="24"/>
              </w:rPr>
            </w:pPr>
          </w:p>
          <w:p>
            <w:pPr>
              <w:spacing w:line="460" w:lineRule="exact"/>
              <w:rPr>
                <w:b/>
                <w:color w:val="FF0000"/>
                <w:sz w:val="24"/>
              </w:rPr>
            </w:pPr>
            <w:r>
              <w:rPr>
                <w:b/>
                <w:color w:val="FF0000"/>
                <w:sz w:val="24"/>
              </w:rPr>
              <mc:AlternateContent>
                <mc:Choice Requires="wps">
                  <w:drawing>
                    <wp:anchor distT="0" distB="0" distL="114300" distR="114300" simplePos="0" relativeHeight="251671552" behindDoc="0" locked="0" layoutInCell="1" allowOverlap="1">
                      <wp:simplePos x="0" y="0"/>
                      <wp:positionH relativeFrom="column">
                        <wp:posOffset>398145</wp:posOffset>
                      </wp:positionH>
                      <wp:positionV relativeFrom="paragraph">
                        <wp:posOffset>58420</wp:posOffset>
                      </wp:positionV>
                      <wp:extent cx="1976120" cy="276225"/>
                      <wp:effectExtent l="0" t="0" r="0" b="0"/>
                      <wp:wrapNone/>
                      <wp:docPr id="37" name="Text Box 4"/>
                      <wp:cNvGraphicFramePr/>
                      <a:graphic xmlns:a="http://schemas.openxmlformats.org/drawingml/2006/main">
                        <a:graphicData uri="http://schemas.microsoft.com/office/word/2010/wordprocessingShape">
                          <wps:wsp>
                            <wps:cNvSpPr txBox="1">
                              <a:spLocks noChangeArrowheads="1"/>
                            </wps:cNvSpPr>
                            <wps:spPr bwMode="auto">
                              <a:xfrm>
                                <a:off x="0" y="0"/>
                                <a:ext cx="1976120" cy="276225"/>
                              </a:xfrm>
                              <a:prstGeom prst="rect">
                                <a:avLst/>
                              </a:prstGeom>
                              <a:noFill/>
                              <a:ln>
                                <a:noFill/>
                              </a:ln>
                              <a:effectLst/>
                            </wps:spPr>
                            <wps:txbx>
                              <w:txbxContent>
                                <w:p>
                                  <w:pPr>
                                    <w:jc w:val="center"/>
                                    <w:rPr>
                                      <w:b/>
                                    </w:rPr>
                                  </w:pPr>
                                  <w:r>
                                    <w:rPr>
                                      <w:rFonts w:hint="eastAsia"/>
                                      <w:b/>
                                    </w:rPr>
                                    <w:t>图4-1保德首站</w:t>
                                  </w:r>
                                </w:p>
                              </w:txbxContent>
                            </wps:txbx>
                            <wps:bodyPr rot="0" vert="horz" wrap="square" lIns="91440" tIns="45720" rIns="91440" bIns="45720" anchor="t" anchorCtr="0" upright="1">
                              <a:noAutofit/>
                            </wps:bodyPr>
                          </wps:wsp>
                        </a:graphicData>
                      </a:graphic>
                    </wp:anchor>
                  </w:drawing>
                </mc:Choice>
                <mc:Fallback>
                  <w:pict>
                    <v:shape id="Text Box 4" o:spid="_x0000_s1026" o:spt="202" type="#_x0000_t202" style="position:absolute;left:0pt;margin-left:31.35pt;margin-top:4.6pt;height:21.75pt;width:155.6pt;z-index:251671552;mso-width-relative:page;mso-height-relative:page;" filled="f" stroked="f" coordsize="21600,21600" o:gfxdata="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HDgJjfUAAAABwEAAA8AAAAAAAAAAQAgAAAAIgAA&#10;AGRycy9kb3ducmV2LnhtbFBLAQIUABQAAAAIAIdO4kAFYIkMDAIAACMEAAAOAAAAAAAAAAEAIAAA&#10;ACMBAABkcnMvZTJvRG9jLnhtbFBLBQYAAAAABgAGAFkBAAChBQAAAAA=&#10;">
                      <v:fill on="f" focussize="0,0"/>
                      <v:stroke on="f"/>
                      <v:imagedata o:title=""/>
                      <o:lock v:ext="edit" aspectratio="f"/>
                      <v:textbox>
                        <w:txbxContent>
                          <w:p>
                            <w:pPr>
                              <w:jc w:val="center"/>
                              <w:rPr>
                                <w:b/>
                              </w:rPr>
                            </w:pPr>
                            <w:r>
                              <w:rPr>
                                <w:rFonts w:hint="eastAsia"/>
                                <w:b/>
                              </w:rPr>
                              <w:t>图4-1保德首站</w:t>
                            </w:r>
                          </w:p>
                        </w:txbxContent>
                      </v:textbox>
                    </v:shape>
                  </w:pict>
                </mc:Fallback>
              </mc:AlternateContent>
            </w:r>
          </w:p>
          <w:p>
            <w:r>
              <w:rPr>
                <w:rFonts w:hint="eastAsia"/>
              </w:rPr>
              <w:t xml:space="preserve"> </w:t>
            </w:r>
            <w:r>
              <w:drawing>
                <wp:inline distT="0" distB="0" distL="0" distR="0">
                  <wp:extent cx="2713990" cy="1838325"/>
                  <wp:effectExtent l="19050" t="0" r="0" b="0"/>
                  <wp:docPr id="2" name="图片 11" descr="C:\Users\lenovo\AppData\Roaming\Tencent\Users\346914618\QQ\WinTemp\RichOle\G7E8WK]_UN1E{3IVRX7F09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C:\Users\lenovo\AppData\Roaming\Tencent\Users\346914618\QQ\WinTemp\RichOle\G7E8WK]_UN1E{3IVRX7F09C.png"/>
                          <pic:cNvPicPr>
                            <a:picLocks noChangeAspect="1" noChangeArrowheads="1"/>
                          </pic:cNvPicPr>
                        </pic:nvPicPr>
                        <pic:blipFill>
                          <a:blip r:embed="rId9"/>
                          <a:srcRect/>
                          <a:stretch>
                            <a:fillRect/>
                          </a:stretch>
                        </pic:blipFill>
                        <pic:spPr>
                          <a:xfrm>
                            <a:off x="0" y="0"/>
                            <a:ext cx="2720564" cy="1842347"/>
                          </a:xfrm>
                          <a:prstGeom prst="rect">
                            <a:avLst/>
                          </a:prstGeom>
                          <a:noFill/>
                          <a:ln w="9525">
                            <a:noFill/>
                            <a:miter lim="800000"/>
                            <a:headEnd/>
                            <a:tailEnd/>
                          </a:ln>
                        </pic:spPr>
                      </pic:pic>
                    </a:graphicData>
                  </a:graphic>
                </wp:inline>
              </w:drawing>
            </w:r>
          </w:p>
          <w:p>
            <w:pPr>
              <w:spacing w:line="460" w:lineRule="exact"/>
              <w:rPr>
                <w:b/>
                <w:color w:val="FF0000"/>
                <w:sz w:val="24"/>
              </w:rPr>
            </w:pPr>
            <w:r>
              <w:rPr>
                <w:b/>
                <w:color w:val="FF0000"/>
                <w:sz w:val="24"/>
              </w:rPr>
              <mc:AlternateContent>
                <mc:Choice Requires="wps">
                  <w:drawing>
                    <wp:anchor distT="0" distB="0" distL="114300" distR="114300" simplePos="0" relativeHeight="251672576" behindDoc="0" locked="0" layoutInCell="1" allowOverlap="1">
                      <wp:simplePos x="0" y="0"/>
                      <wp:positionH relativeFrom="column">
                        <wp:posOffset>2851150</wp:posOffset>
                      </wp:positionH>
                      <wp:positionV relativeFrom="paragraph">
                        <wp:posOffset>0</wp:posOffset>
                      </wp:positionV>
                      <wp:extent cx="3182620" cy="480060"/>
                      <wp:effectExtent l="0" t="0" r="0" b="0"/>
                      <wp:wrapNone/>
                      <wp:docPr id="34" name="Text Box 57"/>
                      <wp:cNvGraphicFramePr/>
                      <a:graphic xmlns:a="http://schemas.openxmlformats.org/drawingml/2006/main">
                        <a:graphicData uri="http://schemas.microsoft.com/office/word/2010/wordprocessingShape">
                          <wps:wsp>
                            <wps:cNvSpPr txBox="1">
                              <a:spLocks noChangeArrowheads="1"/>
                            </wps:cNvSpPr>
                            <wps:spPr bwMode="auto">
                              <a:xfrm>
                                <a:off x="0" y="0"/>
                                <a:ext cx="2499995" cy="276225"/>
                              </a:xfrm>
                              <a:prstGeom prst="rect">
                                <a:avLst/>
                              </a:prstGeom>
                              <a:noFill/>
                              <a:ln>
                                <a:noFill/>
                              </a:ln>
                              <a:effectLst/>
                            </wps:spPr>
                            <wps:txbx>
                              <w:txbxContent>
                                <w:p>
                                  <w:pPr>
                                    <w:jc w:val="center"/>
                                    <w:rPr>
                                      <w:b/>
                                    </w:rPr>
                                  </w:pPr>
                                  <w:r>
                                    <w:rPr>
                                      <w:rFonts w:hint="eastAsia"/>
                                      <w:b/>
                                    </w:rPr>
                                    <w:t>图4-</w:t>
                                  </w:r>
                                  <w:r>
                                    <w:rPr>
                                      <w:b/>
                                    </w:rPr>
                                    <w:t xml:space="preserve">3 </w:t>
                                  </w:r>
                                  <w:r>
                                    <w:rPr>
                                      <w:rFonts w:hint="eastAsia"/>
                                      <w:b/>
                                    </w:rPr>
                                    <w:t>保德首站热电厂专线进出站</w:t>
                                  </w:r>
                                  <w:r>
                                    <w:rPr>
                                      <w:b/>
                                    </w:rPr>
                                    <w:t>区</w:t>
                                  </w:r>
                                  <w:r>
                                    <w:rPr>
                                      <w:rFonts w:hint="eastAsia"/>
                                      <w:b/>
                                    </w:rPr>
                                    <w:t>及</w:t>
                                  </w:r>
                                </w:p>
                                <w:p>
                                  <w:pPr>
                                    <w:jc w:val="center"/>
                                    <w:rPr>
                                      <w:b/>
                                    </w:rPr>
                                  </w:pPr>
                                  <w:r>
                                    <w:rPr>
                                      <w:rFonts w:hint="eastAsia"/>
                                      <w:b/>
                                    </w:rPr>
                                    <w:t>工艺装置区</w:t>
                                  </w:r>
                                </w:p>
                              </w:txbxContent>
                            </wps:txbx>
                            <wps:bodyPr rot="0" vert="horz" wrap="square" lIns="91440" tIns="45720" rIns="91440" bIns="45720" anchor="t" anchorCtr="0" upright="1">
                              <a:noAutofit/>
                            </wps:bodyPr>
                          </wps:wsp>
                        </a:graphicData>
                      </a:graphic>
                    </wp:anchor>
                  </w:drawing>
                </mc:Choice>
                <mc:Fallback>
                  <w:pict>
                    <v:shape id="Text Box 57" o:spid="_x0000_s1026" o:spt="202" type="#_x0000_t202" style="position:absolute;left:0pt;margin-left:224.5pt;margin-top:0pt;height:37.8pt;width:250.6pt;z-index:251672576;mso-width-relative:page;mso-height-relative:page;" filled="f" stroked="f" coordsize="21600,21600" o:gfxdata="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qbJY01gAAAAcBAAAPAAAAAAAAAAEAIAAA&#10;ACIAAABkcnMvZG93bnJldi54bWxQSwECFAAUAAAACACHTuJALjuETA4CAAAkBAAADgAAAAAAAAAB&#10;ACAAAAAlAQAAZHJzL2Uyb0RvYy54bWxQSwUGAAAAAAYABgBZAQAApQUAAAAA&#10;">
                      <v:fill on="f" focussize="0,0"/>
                      <v:stroke on="f"/>
                      <v:imagedata o:title=""/>
                      <o:lock v:ext="edit" aspectratio="f"/>
                      <v:textbox>
                        <w:txbxContent>
                          <w:p>
                            <w:pPr>
                              <w:jc w:val="center"/>
                              <w:rPr>
                                <w:b/>
                              </w:rPr>
                            </w:pPr>
                            <w:r>
                              <w:rPr>
                                <w:rFonts w:hint="eastAsia"/>
                                <w:b/>
                              </w:rPr>
                              <w:t>图4-</w:t>
                            </w:r>
                            <w:r>
                              <w:rPr>
                                <w:b/>
                              </w:rPr>
                              <w:t xml:space="preserve">3 </w:t>
                            </w:r>
                            <w:r>
                              <w:rPr>
                                <w:rFonts w:hint="eastAsia"/>
                                <w:b/>
                              </w:rPr>
                              <w:t>保德首站热电厂专线进出站</w:t>
                            </w:r>
                            <w:r>
                              <w:rPr>
                                <w:b/>
                              </w:rPr>
                              <w:t>区</w:t>
                            </w:r>
                            <w:r>
                              <w:rPr>
                                <w:rFonts w:hint="eastAsia"/>
                                <w:b/>
                              </w:rPr>
                              <w:t>及</w:t>
                            </w:r>
                          </w:p>
                          <w:p>
                            <w:pPr>
                              <w:jc w:val="center"/>
                              <w:rPr>
                                <w:b/>
                              </w:rPr>
                            </w:pPr>
                            <w:r>
                              <w:rPr>
                                <w:rFonts w:hint="eastAsia"/>
                                <w:b/>
                              </w:rPr>
                              <w:t>工艺装置区</w:t>
                            </w:r>
                          </w:p>
                        </w:txbxContent>
                      </v:textbox>
                    </v:shape>
                  </w:pict>
                </mc:Fallback>
              </mc:AlternateContent>
            </w:r>
            <w:r>
              <w:rPr>
                <w:b/>
                <w:color w:val="FF0000"/>
                <w:sz w:val="24"/>
              </w:rPr>
              <mc:AlternateContent>
                <mc:Choice Requires="wps">
                  <w:drawing>
                    <wp:anchor distT="0" distB="0" distL="114300" distR="114300" simplePos="0" relativeHeight="251674624" behindDoc="0" locked="0" layoutInCell="1" allowOverlap="1">
                      <wp:simplePos x="0" y="0"/>
                      <wp:positionH relativeFrom="column">
                        <wp:posOffset>221615</wp:posOffset>
                      </wp:positionH>
                      <wp:positionV relativeFrom="paragraph">
                        <wp:posOffset>-1905</wp:posOffset>
                      </wp:positionV>
                      <wp:extent cx="2452370" cy="276225"/>
                      <wp:effectExtent l="0" t="0" r="0" b="0"/>
                      <wp:wrapNone/>
                      <wp:docPr id="64" name="Text Box 22"/>
                      <wp:cNvGraphicFramePr/>
                      <a:graphic xmlns:a="http://schemas.openxmlformats.org/drawingml/2006/main">
                        <a:graphicData uri="http://schemas.microsoft.com/office/word/2010/wordprocessingShape">
                          <wps:wsp>
                            <wps:cNvSpPr txBox="1">
                              <a:spLocks noChangeArrowheads="1"/>
                            </wps:cNvSpPr>
                            <wps:spPr bwMode="auto">
                              <a:xfrm>
                                <a:off x="0" y="0"/>
                                <a:ext cx="2452370" cy="276225"/>
                              </a:xfrm>
                              <a:prstGeom prst="rect">
                                <a:avLst/>
                              </a:prstGeom>
                              <a:noFill/>
                              <a:ln>
                                <a:noFill/>
                              </a:ln>
                              <a:effectLst/>
                            </wps:spPr>
                            <wps:txbx>
                              <w:txbxContent>
                                <w:p>
                                  <w:pPr>
                                    <w:jc w:val="center"/>
                                    <w:rPr>
                                      <w:b/>
                                    </w:rPr>
                                  </w:pPr>
                                  <w:r>
                                    <w:rPr>
                                      <w:rFonts w:hint="eastAsia"/>
                                      <w:b/>
                                    </w:rPr>
                                    <w:t>图4-2</w:t>
                                  </w:r>
                                  <w:r>
                                    <w:rPr>
                                      <w:b/>
                                    </w:rPr>
                                    <w:t xml:space="preserve"> </w:t>
                                  </w:r>
                                  <w:r>
                                    <w:rPr>
                                      <w:rFonts w:hint="eastAsia"/>
                                      <w:b/>
                                    </w:rPr>
                                    <w:t>保德首站综合用</w:t>
                                  </w:r>
                                  <w:r>
                                    <w:rPr>
                                      <w:b/>
                                    </w:rPr>
                                    <w:t>房</w:t>
                                  </w:r>
                                </w:p>
                              </w:txbxContent>
                            </wps:txbx>
                            <wps:bodyPr rot="0" vert="horz" wrap="square" lIns="91440" tIns="45720" rIns="91440" bIns="45720" anchor="t" anchorCtr="0" upright="1">
                              <a:noAutofit/>
                            </wps:bodyPr>
                          </wps:wsp>
                        </a:graphicData>
                      </a:graphic>
                    </wp:anchor>
                  </w:drawing>
                </mc:Choice>
                <mc:Fallback>
                  <w:pict>
                    <v:shape id="Text Box 22" o:spid="_x0000_s1026" o:spt="202" type="#_x0000_t202" style="position:absolute;left:0pt;margin-left:17.45pt;margin-top:-0.15pt;height:21.75pt;width:193.1pt;z-index:251674624;mso-width-relative:page;mso-height-relative:page;" filled="f" stroked="f" coordsize="21600,21600" o:gfxdata="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6oUitUAAAAHAQAADwAAAAAAAAABACAAAAAi&#10;AAAAZHJzL2Rvd25yZXYueG1sUEsBAhQAFAAAAAgAh07iQAuxktQNAgAAJAQAAA4AAAAAAAAAAQAg&#10;AAAAJAEAAGRycy9lMm9Eb2MueG1sUEsFBgAAAAAGAAYAWQEAAKMFAAAAAA==&#10;">
                      <v:fill on="f" focussize="0,0"/>
                      <v:stroke on="f"/>
                      <v:imagedata o:title=""/>
                      <o:lock v:ext="edit" aspectratio="f"/>
                      <v:textbox>
                        <w:txbxContent>
                          <w:p>
                            <w:pPr>
                              <w:jc w:val="center"/>
                              <w:rPr>
                                <w:b/>
                              </w:rPr>
                            </w:pPr>
                            <w:r>
                              <w:rPr>
                                <w:rFonts w:hint="eastAsia"/>
                                <w:b/>
                              </w:rPr>
                              <w:t>图4-2</w:t>
                            </w:r>
                            <w:r>
                              <w:rPr>
                                <w:b/>
                              </w:rPr>
                              <w:t xml:space="preserve"> </w:t>
                            </w:r>
                            <w:r>
                              <w:rPr>
                                <w:rFonts w:hint="eastAsia"/>
                                <w:b/>
                              </w:rPr>
                              <w:t>保德首站综合用</w:t>
                            </w:r>
                            <w:r>
                              <w:rPr>
                                <w:b/>
                              </w:rPr>
                              <w:t>房</w:t>
                            </w:r>
                          </w:p>
                        </w:txbxContent>
                      </v:textbox>
                    </v:shape>
                  </w:pict>
                </mc:Fallback>
              </mc:AlternateContent>
            </w:r>
          </w:p>
          <w:p>
            <w:pPr>
              <w:spacing w:line="460" w:lineRule="exact"/>
              <w:rPr>
                <w:sz w:val="24"/>
              </w:rPr>
            </w:pPr>
          </w:p>
          <w:p>
            <w:pPr>
              <w:spacing w:line="460" w:lineRule="exact"/>
              <w:rPr>
                <w:sz w:val="24"/>
              </w:rPr>
            </w:pPr>
          </w:p>
          <w:p>
            <w:pPr>
              <w:pStyle w:val="86"/>
              <w:ind w:firstLine="0" w:firstLineChars="0"/>
              <w:rPr>
                <w:rFonts w:cs="Times New Roman"/>
                <w:color w:val="FF0000"/>
              </w:rPr>
            </w:pPr>
          </w:p>
          <w:p>
            <w:pPr>
              <w:pStyle w:val="86"/>
              <w:ind w:firstLine="0" w:firstLineChars="0"/>
              <w:rPr>
                <w:rFonts w:cs="Times New Roman"/>
                <w:color w:val="FF0000"/>
              </w:rPr>
            </w:pPr>
          </w:p>
          <w:p>
            <w:pPr>
              <w:autoSpaceDE w:val="0"/>
              <w:autoSpaceDN w:val="0"/>
              <w:adjustRightInd w:val="0"/>
              <w:spacing w:line="460" w:lineRule="exact"/>
              <w:ind w:firstLine="472" w:firstLineChars="196"/>
              <w:rPr>
                <w:b/>
                <w:bCs/>
                <w:sz w:val="24"/>
                <w:lang w:val="zh-CN"/>
              </w:rPr>
            </w:pPr>
            <w:r>
              <w:rPr>
                <w:rFonts w:hint="eastAsia"/>
                <w:b/>
                <w:bCs/>
                <w:sz w:val="24"/>
                <w:lang w:val="zh-CN"/>
              </w:rPr>
              <w:t>3、</w:t>
            </w:r>
            <w:r>
              <w:rPr>
                <w:b/>
                <w:bCs/>
                <w:sz w:val="24"/>
                <w:lang w:val="zh-CN"/>
              </w:rPr>
              <w:t>工程占地及站场平面布置（附图）</w:t>
            </w:r>
          </w:p>
          <w:p>
            <w:pPr>
              <w:tabs>
                <w:tab w:val="left" w:pos="6300"/>
              </w:tabs>
              <w:spacing w:line="460" w:lineRule="exact"/>
              <w:ind w:firstLine="482" w:firstLineChars="200"/>
              <w:rPr>
                <w:b/>
                <w:sz w:val="24"/>
              </w:rPr>
            </w:pPr>
            <w:r>
              <w:rPr>
                <w:b/>
                <w:sz w:val="24"/>
              </w:rPr>
              <w:t>环评：</w:t>
            </w:r>
          </w:p>
          <w:p>
            <w:pPr>
              <w:pStyle w:val="86"/>
              <w:ind w:firstLine="480"/>
              <w:rPr>
                <w:rFonts w:cs="Times New Roman"/>
              </w:rPr>
            </w:pPr>
            <w:r>
              <w:rPr>
                <w:rFonts w:cs="Times New Roman"/>
              </w:rPr>
              <w:t>本工程线路沿线都避开了建构筑物，远离村庄，为规划用地无拆迁，所以本工程不涉及拆迁移民。</w:t>
            </w:r>
          </w:p>
          <w:p>
            <w:pPr>
              <w:pStyle w:val="86"/>
              <w:ind w:firstLine="480"/>
              <w:rPr>
                <w:rFonts w:cs="Times New Roman"/>
              </w:rPr>
            </w:pPr>
            <w:r>
              <w:rPr>
                <w:rFonts w:cs="Times New Roman"/>
              </w:rPr>
              <w:t>站场、输气管道施工期间，施工便道、堆管场地和施工作业带为临时占地，项目施工便道1km，不设施工营地。保德首站扩建在已建保德首站内进行，</w:t>
            </w:r>
            <w:r>
              <w:rPr>
                <w:rFonts w:hint="eastAsia" w:cs="Times New Roman"/>
              </w:rPr>
              <w:t>占地132m</w:t>
            </w:r>
            <w:r>
              <w:rPr>
                <w:rFonts w:hint="eastAsia" w:cs="Times New Roman"/>
                <w:vertAlign w:val="superscript"/>
              </w:rPr>
              <w:t>2</w:t>
            </w:r>
            <w:r>
              <w:rPr>
                <w:rFonts w:hint="eastAsia" w:cs="Times New Roman"/>
              </w:rPr>
              <w:t>，</w:t>
            </w:r>
            <w:r>
              <w:rPr>
                <w:rFonts w:cs="Times New Roman"/>
              </w:rPr>
              <w:t>不涉及新征地。</w:t>
            </w:r>
          </w:p>
          <w:p>
            <w:pPr>
              <w:pStyle w:val="86"/>
              <w:ind w:firstLine="480"/>
              <w:rPr>
                <w:rFonts w:cs="Times New Roman"/>
              </w:rPr>
            </w:pPr>
            <w:r>
              <w:rPr>
                <w:rFonts w:cs="Times New Roman"/>
              </w:rPr>
              <w:t>项目用地情况见表</w:t>
            </w:r>
            <w:r>
              <w:rPr>
                <w:rFonts w:hint="eastAsia" w:cs="Times New Roman"/>
              </w:rPr>
              <w:t>4-4</w:t>
            </w:r>
            <w:r>
              <w:rPr>
                <w:rFonts w:cs="Times New Roman"/>
              </w:rPr>
              <w:t>。</w:t>
            </w:r>
          </w:p>
          <w:p>
            <w:pPr>
              <w:spacing w:line="460" w:lineRule="exact"/>
              <w:jc w:val="center"/>
              <w:rPr>
                <w:b/>
                <w:szCs w:val="21"/>
                <w:lang w:val="zh-CN"/>
              </w:rPr>
            </w:pPr>
            <w:r>
              <w:rPr>
                <w:b/>
                <w:szCs w:val="21"/>
                <w:lang w:val="zh-CN"/>
              </w:rPr>
              <w:t>表</w:t>
            </w:r>
            <w:r>
              <w:rPr>
                <w:rFonts w:hint="eastAsia"/>
                <w:b/>
                <w:szCs w:val="21"/>
                <w:lang w:val="zh-CN"/>
              </w:rPr>
              <w:t>4-4</w:t>
            </w:r>
            <w:r>
              <w:rPr>
                <w:b/>
                <w:szCs w:val="21"/>
                <w:lang w:val="zh-CN"/>
              </w:rPr>
              <w:t>项目用地表</w:t>
            </w:r>
          </w:p>
          <w:tbl>
            <w:tblPr>
              <w:tblStyle w:val="3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565"/>
              <w:gridCol w:w="1842"/>
              <w:gridCol w:w="1560"/>
              <w:gridCol w:w="1615"/>
              <w:gridCol w:w="1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tc>
                <w:tcPr>
                  <w:tcW w:w="698" w:type="dxa"/>
                  <w:vAlign w:val="center"/>
                </w:tcPr>
                <w:p>
                  <w:pPr>
                    <w:widowControl/>
                    <w:jc w:val="center"/>
                    <w:rPr>
                      <w:kern w:val="0"/>
                      <w:szCs w:val="20"/>
                    </w:rPr>
                  </w:pPr>
                  <w:r>
                    <w:rPr>
                      <w:kern w:val="0"/>
                      <w:szCs w:val="20"/>
                    </w:rPr>
                    <w:t>序号</w:t>
                  </w:r>
                </w:p>
              </w:tc>
              <w:tc>
                <w:tcPr>
                  <w:tcW w:w="1565" w:type="dxa"/>
                  <w:vAlign w:val="center"/>
                </w:tcPr>
                <w:p>
                  <w:pPr>
                    <w:widowControl/>
                    <w:jc w:val="center"/>
                    <w:rPr>
                      <w:kern w:val="0"/>
                      <w:szCs w:val="20"/>
                    </w:rPr>
                  </w:pPr>
                  <w:r>
                    <w:rPr>
                      <w:kern w:val="0"/>
                      <w:szCs w:val="20"/>
                    </w:rPr>
                    <w:t>用地名称</w:t>
                  </w:r>
                </w:p>
              </w:tc>
              <w:tc>
                <w:tcPr>
                  <w:tcW w:w="1842" w:type="dxa"/>
                  <w:vAlign w:val="center"/>
                </w:tcPr>
                <w:p>
                  <w:pPr>
                    <w:widowControl/>
                    <w:jc w:val="center"/>
                    <w:rPr>
                      <w:kern w:val="0"/>
                      <w:szCs w:val="20"/>
                    </w:rPr>
                  </w:pPr>
                  <w:r>
                    <w:rPr>
                      <w:kern w:val="0"/>
                      <w:szCs w:val="20"/>
                    </w:rPr>
                    <w:t>用地位置</w:t>
                  </w:r>
                </w:p>
              </w:tc>
              <w:tc>
                <w:tcPr>
                  <w:tcW w:w="1560" w:type="dxa"/>
                  <w:vAlign w:val="center"/>
                </w:tcPr>
                <w:p>
                  <w:pPr>
                    <w:widowControl/>
                    <w:jc w:val="center"/>
                    <w:rPr>
                      <w:kern w:val="0"/>
                      <w:szCs w:val="20"/>
                    </w:rPr>
                  </w:pPr>
                  <w:r>
                    <w:rPr>
                      <w:kern w:val="0"/>
                      <w:szCs w:val="20"/>
                    </w:rPr>
                    <w:t>用地数量</w:t>
                  </w:r>
                </w:p>
                <w:p>
                  <w:pPr>
                    <w:widowControl/>
                    <w:jc w:val="center"/>
                    <w:rPr>
                      <w:kern w:val="0"/>
                      <w:szCs w:val="20"/>
                    </w:rPr>
                  </w:pPr>
                  <w:r>
                    <w:rPr>
                      <w:kern w:val="0"/>
                      <w:szCs w:val="20"/>
                    </w:rPr>
                    <w:t>（单位：m</w:t>
                  </w:r>
                  <w:r>
                    <w:rPr>
                      <w:kern w:val="0"/>
                      <w:szCs w:val="20"/>
                      <w:vertAlign w:val="superscript"/>
                    </w:rPr>
                    <w:t>2</w:t>
                  </w:r>
                  <w:r>
                    <w:rPr>
                      <w:kern w:val="0"/>
                      <w:szCs w:val="20"/>
                    </w:rPr>
                    <w:t>）</w:t>
                  </w:r>
                </w:p>
              </w:tc>
              <w:tc>
                <w:tcPr>
                  <w:tcW w:w="1615" w:type="dxa"/>
                  <w:vAlign w:val="center"/>
                </w:tcPr>
                <w:p>
                  <w:pPr>
                    <w:widowControl/>
                    <w:jc w:val="center"/>
                    <w:rPr>
                      <w:kern w:val="0"/>
                      <w:szCs w:val="20"/>
                    </w:rPr>
                  </w:pPr>
                  <w:r>
                    <w:rPr>
                      <w:kern w:val="0"/>
                      <w:szCs w:val="20"/>
                    </w:rPr>
                    <w:t>用地性质</w:t>
                  </w:r>
                </w:p>
              </w:tc>
              <w:tc>
                <w:tcPr>
                  <w:tcW w:w="1894" w:type="dxa"/>
                  <w:vAlign w:val="center"/>
                </w:tcPr>
                <w:p>
                  <w:pPr>
                    <w:widowControl/>
                    <w:jc w:val="center"/>
                    <w:rPr>
                      <w:kern w:val="0"/>
                      <w:szCs w:val="20"/>
                    </w:rPr>
                  </w:pPr>
                  <w:r>
                    <w:rPr>
                      <w:kern w:val="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tc>
                <w:tcPr>
                  <w:tcW w:w="698" w:type="dxa"/>
                  <w:vAlign w:val="center"/>
                </w:tcPr>
                <w:p>
                  <w:pPr>
                    <w:widowControl/>
                    <w:jc w:val="center"/>
                    <w:rPr>
                      <w:kern w:val="0"/>
                      <w:szCs w:val="20"/>
                    </w:rPr>
                  </w:pPr>
                  <w:r>
                    <w:rPr>
                      <w:kern w:val="0"/>
                      <w:szCs w:val="20"/>
                    </w:rPr>
                    <w:t>1</w:t>
                  </w:r>
                </w:p>
              </w:tc>
              <w:tc>
                <w:tcPr>
                  <w:tcW w:w="1565" w:type="dxa"/>
                  <w:vAlign w:val="center"/>
                </w:tcPr>
                <w:p>
                  <w:pPr>
                    <w:widowControl/>
                    <w:jc w:val="center"/>
                    <w:rPr>
                      <w:kern w:val="0"/>
                      <w:szCs w:val="20"/>
                    </w:rPr>
                  </w:pPr>
                  <w:r>
                    <w:rPr>
                      <w:kern w:val="0"/>
                      <w:szCs w:val="20"/>
                    </w:rPr>
                    <w:t>保德首站扩建</w:t>
                  </w:r>
                </w:p>
              </w:tc>
              <w:tc>
                <w:tcPr>
                  <w:tcW w:w="1842" w:type="dxa"/>
                  <w:vAlign w:val="center"/>
                </w:tcPr>
                <w:p>
                  <w:pPr>
                    <w:widowControl/>
                    <w:jc w:val="center"/>
                    <w:rPr>
                      <w:kern w:val="0"/>
                      <w:szCs w:val="20"/>
                    </w:rPr>
                  </w:pPr>
                  <w:r>
                    <w:rPr>
                      <w:kern w:val="0"/>
                      <w:szCs w:val="20"/>
                    </w:rPr>
                    <w:t>保德县杨家湾镇</w:t>
                  </w:r>
                </w:p>
              </w:tc>
              <w:tc>
                <w:tcPr>
                  <w:tcW w:w="1560" w:type="dxa"/>
                  <w:vAlign w:val="center"/>
                </w:tcPr>
                <w:p>
                  <w:pPr>
                    <w:widowControl/>
                    <w:jc w:val="center"/>
                    <w:rPr>
                      <w:kern w:val="0"/>
                      <w:szCs w:val="20"/>
                    </w:rPr>
                  </w:pPr>
                  <w:r>
                    <w:rPr>
                      <w:kern w:val="0"/>
                      <w:szCs w:val="20"/>
                    </w:rPr>
                    <w:t>132</w:t>
                  </w:r>
                </w:p>
              </w:tc>
              <w:tc>
                <w:tcPr>
                  <w:tcW w:w="1615" w:type="dxa"/>
                  <w:vAlign w:val="center"/>
                </w:tcPr>
                <w:p>
                  <w:pPr>
                    <w:widowControl/>
                    <w:jc w:val="center"/>
                    <w:rPr>
                      <w:kern w:val="0"/>
                      <w:szCs w:val="20"/>
                    </w:rPr>
                  </w:pPr>
                  <w:r>
                    <w:rPr>
                      <w:kern w:val="0"/>
                      <w:szCs w:val="20"/>
                    </w:rPr>
                    <w:t>不涉及新征地</w:t>
                  </w:r>
                </w:p>
              </w:tc>
              <w:tc>
                <w:tcPr>
                  <w:tcW w:w="1894" w:type="dxa"/>
                  <w:vAlign w:val="center"/>
                </w:tcPr>
                <w:p>
                  <w:pPr>
                    <w:widowControl/>
                    <w:jc w:val="center"/>
                    <w:rPr>
                      <w:kern w:val="0"/>
                      <w:szCs w:val="20"/>
                    </w:rPr>
                  </w:pPr>
                  <w:r>
                    <w:rPr>
                      <w:kern w:val="0"/>
                      <w:szCs w:val="20"/>
                    </w:rPr>
                    <w:t>工艺装置区42m</w:t>
                  </w:r>
                  <w:r>
                    <w:rPr>
                      <w:kern w:val="0"/>
                      <w:szCs w:val="20"/>
                      <w:vertAlign w:val="superscript"/>
                    </w:rPr>
                    <w:t>2</w:t>
                  </w:r>
                  <w:r>
                    <w:rPr>
                      <w:kern w:val="0"/>
                      <w:szCs w:val="20"/>
                    </w:rPr>
                    <w:t>，出站区90m</w:t>
                  </w:r>
                  <w:r>
                    <w:rPr>
                      <w:kern w:val="0"/>
                      <w:szCs w:val="20"/>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jc w:val="center"/>
              </w:trPr>
              <w:tc>
                <w:tcPr>
                  <w:tcW w:w="698" w:type="dxa"/>
                  <w:vAlign w:val="center"/>
                </w:tcPr>
                <w:p>
                  <w:pPr>
                    <w:widowControl/>
                    <w:jc w:val="center"/>
                    <w:rPr>
                      <w:kern w:val="0"/>
                      <w:szCs w:val="20"/>
                    </w:rPr>
                  </w:pPr>
                  <w:r>
                    <w:rPr>
                      <w:kern w:val="0"/>
                      <w:szCs w:val="20"/>
                    </w:rPr>
                    <w:t>2</w:t>
                  </w:r>
                </w:p>
              </w:tc>
              <w:tc>
                <w:tcPr>
                  <w:tcW w:w="1565" w:type="dxa"/>
                  <w:vAlign w:val="center"/>
                </w:tcPr>
                <w:p>
                  <w:pPr>
                    <w:widowControl/>
                    <w:jc w:val="center"/>
                    <w:rPr>
                      <w:kern w:val="0"/>
                      <w:szCs w:val="20"/>
                    </w:rPr>
                  </w:pPr>
                  <w:r>
                    <w:rPr>
                      <w:kern w:val="0"/>
                      <w:szCs w:val="20"/>
                    </w:rPr>
                    <w:t>输气管线</w:t>
                  </w:r>
                </w:p>
              </w:tc>
              <w:tc>
                <w:tcPr>
                  <w:tcW w:w="1842" w:type="dxa"/>
                  <w:vAlign w:val="center"/>
                </w:tcPr>
                <w:p>
                  <w:pPr>
                    <w:widowControl/>
                    <w:jc w:val="center"/>
                    <w:rPr>
                      <w:kern w:val="0"/>
                      <w:szCs w:val="20"/>
                    </w:rPr>
                  </w:pPr>
                  <w:r>
                    <w:rPr>
                      <w:kern w:val="0"/>
                      <w:szCs w:val="20"/>
                    </w:rPr>
                    <w:t>保德县</w:t>
                  </w:r>
                </w:p>
              </w:tc>
              <w:tc>
                <w:tcPr>
                  <w:tcW w:w="1560" w:type="dxa"/>
                  <w:vAlign w:val="center"/>
                </w:tcPr>
                <w:p>
                  <w:pPr>
                    <w:widowControl/>
                    <w:jc w:val="center"/>
                    <w:rPr>
                      <w:kern w:val="0"/>
                      <w:szCs w:val="20"/>
                    </w:rPr>
                  </w:pPr>
                  <w:r>
                    <w:rPr>
                      <w:kern w:val="0"/>
                      <w:szCs w:val="20"/>
                    </w:rPr>
                    <w:t>96700</w:t>
                  </w:r>
                </w:p>
              </w:tc>
              <w:tc>
                <w:tcPr>
                  <w:tcW w:w="1615" w:type="dxa"/>
                  <w:vAlign w:val="center"/>
                </w:tcPr>
                <w:p>
                  <w:pPr>
                    <w:widowControl/>
                    <w:jc w:val="center"/>
                    <w:rPr>
                      <w:kern w:val="0"/>
                      <w:szCs w:val="20"/>
                    </w:rPr>
                  </w:pPr>
                  <w:r>
                    <w:rPr>
                      <w:kern w:val="0"/>
                      <w:szCs w:val="20"/>
                    </w:rPr>
                    <w:t>临时用地</w:t>
                  </w:r>
                </w:p>
              </w:tc>
              <w:tc>
                <w:tcPr>
                  <w:tcW w:w="1894" w:type="dxa"/>
                  <w:vAlign w:val="center"/>
                </w:tcPr>
                <w:p>
                  <w:pPr>
                    <w:widowControl/>
                    <w:jc w:val="center"/>
                    <w:rPr>
                      <w:kern w:val="0"/>
                      <w:szCs w:val="20"/>
                    </w:rPr>
                  </w:pPr>
                </w:p>
              </w:tc>
            </w:tr>
          </w:tbl>
          <w:p>
            <w:pPr>
              <w:pStyle w:val="86"/>
              <w:ind w:firstLine="482"/>
              <w:rPr>
                <w:rFonts w:cs="Times New Roman"/>
                <w:b/>
              </w:rPr>
            </w:pPr>
            <w:r>
              <w:rPr>
                <w:rFonts w:cs="Times New Roman"/>
                <w:b/>
              </w:rPr>
              <w:t>实际调查：</w:t>
            </w:r>
          </w:p>
          <w:p>
            <w:pPr>
              <w:pStyle w:val="86"/>
              <w:ind w:firstLine="480"/>
              <w:rPr>
                <w:rFonts w:cs="Times New Roman"/>
              </w:rPr>
            </w:pPr>
            <w:r>
              <w:rPr>
                <w:rFonts w:cs="Times New Roman"/>
              </w:rPr>
              <w:t>占地情况与环评一致。详见表4-</w:t>
            </w:r>
            <w:r>
              <w:rPr>
                <w:rFonts w:hint="eastAsia" w:cs="Times New Roman"/>
              </w:rPr>
              <w:t>5</w:t>
            </w:r>
            <w:r>
              <w:rPr>
                <w:rFonts w:cs="Times New Roman"/>
              </w:rPr>
              <w:t>。站场平面布置图见附图5。</w:t>
            </w:r>
          </w:p>
          <w:p>
            <w:pPr>
              <w:jc w:val="center"/>
              <w:rPr>
                <w:b/>
                <w:szCs w:val="21"/>
              </w:rPr>
            </w:pPr>
            <w:r>
              <w:rPr>
                <w:b/>
                <w:szCs w:val="21"/>
              </w:rPr>
              <w:t>表4-</w:t>
            </w:r>
            <w:r>
              <w:rPr>
                <w:rFonts w:hint="eastAsia"/>
                <w:b/>
                <w:szCs w:val="21"/>
              </w:rPr>
              <w:t>5</w:t>
            </w:r>
            <w:r>
              <w:rPr>
                <w:b/>
                <w:szCs w:val="21"/>
              </w:rPr>
              <w:t>本工程实际占地面积统计一览表</w:t>
            </w:r>
          </w:p>
          <w:tbl>
            <w:tblPr>
              <w:tblStyle w:val="32"/>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4921"/>
              <w:gridCol w:w="2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9" w:type="dxa"/>
                  <w:vAlign w:val="center"/>
                </w:tcPr>
                <w:p>
                  <w:pPr>
                    <w:pStyle w:val="89"/>
                    <w:rPr>
                      <w:rFonts w:cs="Times New Roman"/>
                    </w:rPr>
                  </w:pPr>
                  <w:r>
                    <w:rPr>
                      <w:rFonts w:cs="Times New Roman"/>
                    </w:rPr>
                    <w:t>项目</w:t>
                  </w:r>
                </w:p>
              </w:tc>
              <w:tc>
                <w:tcPr>
                  <w:tcW w:w="4921" w:type="dxa"/>
                  <w:vAlign w:val="center"/>
                </w:tcPr>
                <w:p>
                  <w:pPr>
                    <w:pStyle w:val="89"/>
                    <w:rPr>
                      <w:rFonts w:cs="Times New Roman"/>
                    </w:rPr>
                  </w:pPr>
                  <w:r>
                    <w:rPr>
                      <w:rFonts w:cs="Times New Roman"/>
                    </w:rPr>
                    <w:t>环评</w:t>
                  </w:r>
                </w:p>
              </w:tc>
              <w:tc>
                <w:tcPr>
                  <w:tcW w:w="2704" w:type="dxa"/>
                  <w:vAlign w:val="center"/>
                </w:tcPr>
                <w:p>
                  <w:pPr>
                    <w:pStyle w:val="89"/>
                    <w:rPr>
                      <w:rFonts w:cs="Times New Roman"/>
                    </w:rPr>
                  </w:pPr>
                  <w:r>
                    <w:rPr>
                      <w:rFonts w:cs="Times New Roman"/>
                    </w:rPr>
                    <w:t>实际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9" w:type="dxa"/>
                  <w:vAlign w:val="center"/>
                </w:tcPr>
                <w:p>
                  <w:pPr>
                    <w:pStyle w:val="89"/>
                    <w:rPr>
                      <w:rFonts w:cs="Times New Roman"/>
                    </w:rPr>
                  </w:pPr>
                  <w:r>
                    <w:rPr>
                      <w:rFonts w:hint="eastAsia" w:cs="Times New Roman"/>
                    </w:rPr>
                    <w:t>保德首站扩建</w:t>
                  </w:r>
                </w:p>
              </w:tc>
              <w:tc>
                <w:tcPr>
                  <w:tcW w:w="4921" w:type="dxa"/>
                  <w:vAlign w:val="center"/>
                </w:tcPr>
                <w:p>
                  <w:pPr>
                    <w:pStyle w:val="89"/>
                    <w:rPr>
                      <w:rFonts w:cs="Times New Roman"/>
                    </w:rPr>
                  </w:pPr>
                  <w:r>
                    <w:rPr>
                      <w:rFonts w:cs="Times New Roman"/>
                    </w:rPr>
                    <w:t>占地</w:t>
                  </w:r>
                  <w:r>
                    <w:rPr>
                      <w:rFonts w:hint="eastAsia" w:cs="Times New Roman"/>
                    </w:rPr>
                    <w:t>132</w:t>
                  </w:r>
                  <w:r>
                    <w:rPr>
                      <w:rFonts w:cs="Times New Roman"/>
                    </w:rPr>
                    <w:t>m</w:t>
                  </w:r>
                  <w:r>
                    <w:rPr>
                      <w:rFonts w:cs="Times New Roman"/>
                      <w:vertAlign w:val="superscript"/>
                    </w:rPr>
                    <w:t>2</w:t>
                  </w:r>
                  <w:r>
                    <w:rPr>
                      <w:rFonts w:cs="Times New Roman"/>
                    </w:rPr>
                    <w:t>，</w:t>
                  </w:r>
                  <w:r>
                    <w:rPr>
                      <w:rFonts w:hint="eastAsia" w:cs="Times New Roman"/>
                    </w:rPr>
                    <w:t>扩建在已建保德首站内进行，不涉及新征地</w:t>
                  </w:r>
                </w:p>
              </w:tc>
              <w:tc>
                <w:tcPr>
                  <w:tcW w:w="2704" w:type="dxa"/>
                  <w:vAlign w:val="center"/>
                </w:tcPr>
                <w:p>
                  <w:pPr>
                    <w:pStyle w:val="89"/>
                    <w:rPr>
                      <w:rFonts w:cs="Times New Roman"/>
                    </w:rPr>
                  </w:pPr>
                  <w:r>
                    <w:rPr>
                      <w:rFonts w:cs="Times New Roma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49" w:type="dxa"/>
                  <w:vAlign w:val="center"/>
                </w:tcPr>
                <w:p>
                  <w:pPr>
                    <w:pStyle w:val="89"/>
                    <w:rPr>
                      <w:kern w:val="0"/>
                      <w:szCs w:val="20"/>
                    </w:rPr>
                  </w:pPr>
                  <w:r>
                    <w:rPr>
                      <w:kern w:val="0"/>
                      <w:szCs w:val="20"/>
                    </w:rPr>
                    <w:t>输气管线</w:t>
                  </w:r>
                </w:p>
              </w:tc>
              <w:tc>
                <w:tcPr>
                  <w:tcW w:w="4921" w:type="dxa"/>
                  <w:vAlign w:val="center"/>
                </w:tcPr>
                <w:p>
                  <w:pPr>
                    <w:pStyle w:val="89"/>
                    <w:rPr>
                      <w:rFonts w:hint="eastAsia" w:cs="Times New Roman"/>
                      <w:lang w:val="en-US" w:eastAsia="zh-CN"/>
                    </w:rPr>
                  </w:pPr>
                  <w:r>
                    <w:rPr>
                      <w:rFonts w:hint="eastAsia" w:cs="Times New Roman"/>
                      <w:lang w:val="en-US" w:eastAsia="zh-CN"/>
                    </w:rPr>
                    <w:t>占地9.6公顷：包括草地2.82公顷；耕地2.94公顷；</w:t>
                  </w:r>
                </w:p>
                <w:p>
                  <w:pPr>
                    <w:pStyle w:val="89"/>
                    <w:rPr>
                      <w:rFonts w:hint="eastAsia" w:cs="Times New Roman"/>
                      <w:lang w:val="en-US" w:eastAsia="zh-CN"/>
                    </w:rPr>
                  </w:pPr>
                  <w:r>
                    <w:rPr>
                      <w:rFonts w:hint="eastAsia" w:cs="Times New Roman"/>
                      <w:lang w:val="en-US" w:eastAsia="zh-CN"/>
                    </w:rPr>
                    <w:t>林地0.68公顷；水域及水利设施用地0.17公顷；园地2.48公顷；住宅用地0.13公顷；其他0.38公顷。均为临时用地。</w:t>
                  </w:r>
                </w:p>
              </w:tc>
              <w:tc>
                <w:tcPr>
                  <w:tcW w:w="2704" w:type="dxa"/>
                  <w:vAlign w:val="center"/>
                </w:tcPr>
                <w:p>
                  <w:pPr>
                    <w:pStyle w:val="89"/>
                    <w:rPr>
                      <w:rFonts w:cs="Times New Roman"/>
                    </w:rPr>
                  </w:pPr>
                  <w:r>
                    <w:rPr>
                      <w:rFonts w:cs="Times New Roman"/>
                      <w:color w:val="000000" w:themeColor="text1"/>
                    </w:rPr>
                    <w:t>项目施工完后对临时占地全部进行</w:t>
                  </w:r>
                  <w:r>
                    <w:rPr>
                      <w:rFonts w:hint="eastAsia" w:cs="Times New Roman"/>
                      <w:color w:val="000000" w:themeColor="text1"/>
                      <w:lang w:val="en-US" w:eastAsia="zh-CN"/>
                    </w:rPr>
                    <w:t>了生态恢复</w:t>
                  </w:r>
                </w:p>
              </w:tc>
            </w:tr>
          </w:tbl>
          <w:p>
            <w:pPr>
              <w:spacing w:line="460" w:lineRule="exact"/>
              <w:ind w:firstLine="482" w:firstLineChars="200"/>
              <w:rPr>
                <w:b/>
                <w:sz w:val="24"/>
              </w:rPr>
            </w:pPr>
            <w:r>
              <w:rPr>
                <w:rFonts w:hint="eastAsia"/>
                <w:b/>
                <w:sz w:val="24"/>
              </w:rPr>
              <w:t>4</w:t>
            </w:r>
            <w:r>
              <w:rPr>
                <w:b/>
                <w:sz w:val="24"/>
              </w:rPr>
              <w:t>、土石方平衡</w:t>
            </w:r>
          </w:p>
          <w:p>
            <w:pPr>
              <w:spacing w:line="460" w:lineRule="exact"/>
              <w:ind w:firstLine="482" w:firstLineChars="200"/>
              <w:rPr>
                <w:b/>
                <w:sz w:val="24"/>
              </w:rPr>
            </w:pPr>
            <w:r>
              <w:rPr>
                <w:b/>
                <w:sz w:val="24"/>
              </w:rPr>
              <w:t>环评：</w:t>
            </w:r>
          </w:p>
          <w:p>
            <w:pPr>
              <w:spacing w:line="460" w:lineRule="exact"/>
              <w:ind w:firstLine="480" w:firstLineChars="200"/>
              <w:rPr>
                <w:sz w:val="24"/>
              </w:rPr>
            </w:pPr>
            <w:r>
              <w:rPr>
                <w:sz w:val="24"/>
              </w:rPr>
              <w:t>本工程管线施工产生土石方量为50000m</w:t>
            </w:r>
            <w:r>
              <w:rPr>
                <w:sz w:val="24"/>
                <w:vertAlign w:val="superscript"/>
              </w:rPr>
              <w:t>3</w:t>
            </w:r>
            <w:r>
              <w:rPr>
                <w:sz w:val="24"/>
              </w:rPr>
              <w:t>，回填土方46500m</w:t>
            </w:r>
            <w:r>
              <w:rPr>
                <w:sz w:val="24"/>
                <w:vertAlign w:val="superscript"/>
              </w:rPr>
              <w:t>3</w:t>
            </w:r>
            <w:r>
              <w:rPr>
                <w:sz w:val="24"/>
              </w:rPr>
              <w:t>，剩余土方3500m</w:t>
            </w:r>
            <w:r>
              <w:rPr>
                <w:sz w:val="24"/>
                <w:vertAlign w:val="superscript"/>
              </w:rPr>
              <w:t>3</w:t>
            </w:r>
            <w:r>
              <w:rPr>
                <w:sz w:val="24"/>
              </w:rPr>
              <w:t>。</w:t>
            </w:r>
          </w:p>
          <w:p>
            <w:pPr>
              <w:spacing w:line="460" w:lineRule="exact"/>
              <w:ind w:firstLine="480" w:firstLineChars="200"/>
              <w:rPr>
                <w:sz w:val="24"/>
              </w:rPr>
            </w:pPr>
            <w:r>
              <w:rPr>
                <w:sz w:val="24"/>
              </w:rPr>
              <w:t>本项目属于线性工程，尽管总体多余土方量较大，但单位长度（m）管道弃方量很小，为0.43m</w:t>
            </w:r>
            <w:r>
              <w:rPr>
                <w:sz w:val="24"/>
                <w:vertAlign w:val="superscript"/>
              </w:rPr>
              <w:t>3</w:t>
            </w:r>
            <w:r>
              <w:rPr>
                <w:sz w:val="24"/>
              </w:rPr>
              <w:t>。多余的土方在施工带内进行平整，无需设置取、弃土场。</w:t>
            </w:r>
          </w:p>
          <w:p>
            <w:pPr>
              <w:spacing w:line="460" w:lineRule="exact"/>
              <w:ind w:firstLine="482" w:firstLineChars="200"/>
              <w:rPr>
                <w:b/>
                <w:sz w:val="24"/>
              </w:rPr>
            </w:pPr>
            <w:r>
              <w:rPr>
                <w:b/>
                <w:sz w:val="24"/>
              </w:rPr>
              <w:t>实际调查：</w:t>
            </w:r>
          </w:p>
          <w:p>
            <w:pPr>
              <w:pStyle w:val="86"/>
              <w:ind w:firstLine="480"/>
              <w:rPr>
                <w:rFonts w:cs="Times New Roman"/>
              </w:rPr>
            </w:pPr>
            <w:r>
              <w:rPr>
                <w:rFonts w:cs="Times New Roman"/>
              </w:rPr>
              <w:t>经调查，现场踏勘时未见线路两侧有多余土方堆存，与环评一致。</w:t>
            </w:r>
          </w:p>
          <w:p>
            <w:pPr>
              <w:spacing w:line="460" w:lineRule="exact"/>
              <w:ind w:firstLine="482" w:firstLineChars="200"/>
              <w:rPr>
                <w:b/>
                <w:sz w:val="24"/>
              </w:rPr>
            </w:pPr>
            <w:r>
              <w:rPr>
                <w:rFonts w:hint="eastAsia"/>
                <w:b/>
                <w:sz w:val="24"/>
              </w:rPr>
              <w:t>5、</w:t>
            </w:r>
            <w:r>
              <w:rPr>
                <w:b/>
                <w:sz w:val="24"/>
              </w:rPr>
              <w:t>公用工程</w:t>
            </w:r>
          </w:p>
          <w:p>
            <w:pPr>
              <w:spacing w:line="460" w:lineRule="exact"/>
              <w:ind w:firstLine="482" w:firstLineChars="200"/>
              <w:rPr>
                <w:sz w:val="24"/>
              </w:rPr>
            </w:pPr>
            <w:r>
              <w:rPr>
                <w:b/>
                <w:sz w:val="24"/>
              </w:rPr>
              <w:t>环评：</w:t>
            </w:r>
          </w:p>
          <w:p>
            <w:pPr>
              <w:spacing w:line="460" w:lineRule="exact"/>
              <w:ind w:firstLine="480" w:firstLineChars="200"/>
              <w:rPr>
                <w:sz w:val="24"/>
              </w:rPr>
            </w:pPr>
            <w:r>
              <w:rPr>
                <w:rFonts w:hint="eastAsia" w:ascii="宋体" w:hAnsi="宋体" w:cs="宋体"/>
                <w:sz w:val="24"/>
              </w:rPr>
              <w:t>①</w:t>
            </w:r>
            <w:r>
              <w:rPr>
                <w:sz w:val="24"/>
              </w:rPr>
              <w:t>自动控制</w:t>
            </w:r>
          </w:p>
          <w:p>
            <w:pPr>
              <w:pStyle w:val="101"/>
              <w:spacing w:line="440" w:lineRule="exact"/>
              <w:ind w:firstLine="480"/>
              <w:rPr>
                <w:rFonts w:ascii="Times New Roman" w:hAnsi="Times New Roman"/>
                <w:position w:val="0"/>
                <w:sz w:val="24"/>
              </w:rPr>
            </w:pPr>
            <w:r>
              <w:rPr>
                <w:rFonts w:hint="eastAsia" w:ascii="Times New Roman" w:hAnsi="Times New Roman"/>
                <w:position w:val="0"/>
                <w:sz w:val="24"/>
              </w:rPr>
              <w:t>保德首站</w:t>
            </w:r>
            <w:r>
              <w:rPr>
                <w:rFonts w:ascii="Times New Roman" w:hAnsi="Times New Roman"/>
                <w:position w:val="0"/>
                <w:sz w:val="24"/>
              </w:rPr>
              <w:t>扩建</w:t>
            </w:r>
            <w:r>
              <w:rPr>
                <w:rFonts w:hint="eastAsia" w:ascii="Times New Roman" w:hAnsi="Times New Roman"/>
                <w:position w:val="0"/>
                <w:sz w:val="24"/>
              </w:rPr>
              <w:t>是</w:t>
            </w:r>
            <w:r>
              <w:rPr>
                <w:rFonts w:ascii="Times New Roman" w:hAnsi="Times New Roman"/>
                <w:position w:val="0"/>
                <w:sz w:val="24"/>
              </w:rPr>
              <w:t>在原有站自动控制系统上扩容，完成站内所有工艺参数的自动检测和控制操作，并通过原有通信系统上传数据。</w:t>
            </w:r>
          </w:p>
          <w:p>
            <w:pPr>
              <w:pStyle w:val="101"/>
              <w:spacing w:line="440" w:lineRule="exact"/>
              <w:ind w:firstLine="480"/>
              <w:rPr>
                <w:rFonts w:ascii="Times New Roman" w:hAnsi="Times New Roman"/>
                <w:position w:val="0"/>
                <w:sz w:val="24"/>
              </w:rPr>
            </w:pPr>
            <w:r>
              <w:rPr>
                <w:rFonts w:hint="eastAsia" w:ascii="Times New Roman" w:hAnsi="Times New Roman"/>
                <w:position w:val="0"/>
                <w:sz w:val="24"/>
              </w:rPr>
              <w:t>本项目</w:t>
            </w:r>
            <w:r>
              <w:rPr>
                <w:rFonts w:ascii="Times New Roman" w:hAnsi="Times New Roman"/>
                <w:position w:val="0"/>
                <w:sz w:val="24"/>
              </w:rPr>
              <w:t>选用相关就地仪表和远传标准信号仪表结合，在工艺流程中分别设置压力、温度、流量的显示和远传，并对相应的阀门及工艺装置进行远控。</w:t>
            </w:r>
          </w:p>
          <w:p>
            <w:pPr>
              <w:spacing w:line="460" w:lineRule="exact"/>
              <w:ind w:firstLine="480" w:firstLineChars="200"/>
              <w:rPr>
                <w:color w:val="FF0000"/>
                <w:sz w:val="24"/>
              </w:rPr>
            </w:pPr>
            <w:r>
              <w:rPr>
                <w:sz w:val="24"/>
              </w:rPr>
              <w:t>测控内容包括出站去电厂管线上设压力、温度就地显示和远传检测；去电厂管线设置紧急切断阀；出站去电厂管线流量检测。</w:t>
            </w:r>
          </w:p>
          <w:p>
            <w:pPr>
              <w:spacing w:line="460" w:lineRule="exact"/>
              <w:ind w:firstLine="480" w:firstLineChars="200"/>
              <w:rPr>
                <w:sz w:val="24"/>
              </w:rPr>
            </w:pPr>
            <w:r>
              <w:rPr>
                <w:rFonts w:hint="eastAsia" w:ascii="宋体" w:hAnsi="宋体" w:cs="宋体"/>
                <w:sz w:val="24"/>
              </w:rPr>
              <w:t>②</w:t>
            </w:r>
            <w:r>
              <w:rPr>
                <w:sz w:val="24"/>
              </w:rPr>
              <w:t>通信</w:t>
            </w:r>
          </w:p>
          <w:p>
            <w:pPr>
              <w:pStyle w:val="86"/>
              <w:ind w:firstLine="480"/>
              <w:rPr>
                <w:rFonts w:cs="Times New Roman"/>
              </w:rPr>
            </w:pPr>
            <w:r>
              <w:rPr>
                <w:rFonts w:hint="eastAsia" w:cs="Times New Roman"/>
              </w:rPr>
              <w:t>利用原场站（保德首站）的通信设施，无需改建</w:t>
            </w:r>
            <w:r>
              <w:rPr>
                <w:rFonts w:cs="Times New Roman"/>
              </w:rPr>
              <w:t>。</w:t>
            </w:r>
          </w:p>
          <w:p>
            <w:pPr>
              <w:spacing w:line="460" w:lineRule="exact"/>
              <w:ind w:firstLine="480" w:firstLineChars="200"/>
              <w:rPr>
                <w:sz w:val="24"/>
              </w:rPr>
            </w:pPr>
            <w:r>
              <w:rPr>
                <w:rFonts w:hint="eastAsia" w:ascii="宋体" w:hAnsi="宋体" w:cs="宋体"/>
                <w:sz w:val="24"/>
              </w:rPr>
              <w:t>③</w:t>
            </w:r>
            <w:r>
              <w:rPr>
                <w:sz w:val="24"/>
              </w:rPr>
              <w:t>供电</w:t>
            </w:r>
          </w:p>
          <w:p>
            <w:pPr>
              <w:pStyle w:val="2"/>
              <w:spacing w:after="0" w:line="440" w:lineRule="exact"/>
              <w:ind w:firstLine="475" w:firstLineChars="198"/>
              <w:rPr>
                <w:sz w:val="24"/>
              </w:rPr>
            </w:pPr>
            <w:r>
              <w:rPr>
                <w:sz w:val="24"/>
              </w:rPr>
              <w:t>1</w:t>
            </w:r>
            <w:r>
              <w:rPr>
                <w:rFonts w:hAnsi="宋体"/>
                <w:sz w:val="24"/>
              </w:rPr>
              <w:t>）供电电源</w:t>
            </w:r>
          </w:p>
          <w:p>
            <w:pPr>
              <w:spacing w:line="440" w:lineRule="exact"/>
              <w:ind w:firstLine="480" w:firstLineChars="200"/>
              <w:rPr>
                <w:color w:val="FF0000"/>
                <w:sz w:val="24"/>
              </w:rPr>
            </w:pPr>
            <w:r>
              <w:rPr>
                <w:rFonts w:hint="eastAsia" w:hAnsi="宋体"/>
                <w:sz w:val="24"/>
              </w:rPr>
              <w:t>本项目</w:t>
            </w:r>
            <w:r>
              <w:rPr>
                <w:rFonts w:hAnsi="宋体"/>
                <w:sz w:val="24"/>
              </w:rPr>
              <w:t>利用原场站低压配电室的预留回路</w:t>
            </w:r>
            <w:r>
              <w:rPr>
                <w:sz w:val="24"/>
              </w:rPr>
              <w:t>WP-11</w:t>
            </w:r>
            <w:r>
              <w:rPr>
                <w:rFonts w:hAnsi="宋体"/>
                <w:sz w:val="24"/>
              </w:rPr>
              <w:t>向扩建的用电设施供电。在工艺区（二）增设电动阀配电箱</w:t>
            </w:r>
            <w:r>
              <w:rPr>
                <w:sz w:val="24"/>
              </w:rPr>
              <w:t>AP6</w:t>
            </w:r>
            <w:r>
              <w:rPr>
                <w:rFonts w:hAnsi="宋体"/>
                <w:sz w:val="24"/>
              </w:rPr>
              <w:t>一台。现新增的用电负荷约为</w:t>
            </w:r>
            <w:r>
              <w:rPr>
                <w:sz w:val="24"/>
              </w:rPr>
              <w:t>5KW</w:t>
            </w:r>
            <w:r>
              <w:rPr>
                <w:rFonts w:hAnsi="宋体"/>
                <w:sz w:val="24"/>
              </w:rPr>
              <w:t>。供配电电缆采用直埋敷设。新增电动阀上与主接地网连接接地电阻</w:t>
            </w:r>
            <w:r>
              <w:rPr>
                <w:sz w:val="24"/>
              </w:rPr>
              <w:t>≤1Ω</w:t>
            </w:r>
            <w:r>
              <w:rPr>
                <w:rFonts w:hAnsi="宋体"/>
                <w:sz w:val="24"/>
              </w:rPr>
              <w:t>。供电电源由现有</w:t>
            </w:r>
            <w:r>
              <w:rPr>
                <w:sz w:val="24"/>
              </w:rPr>
              <w:t>10/0.4KV</w:t>
            </w:r>
            <w:r>
              <w:rPr>
                <w:rFonts w:hAnsi="宋体"/>
                <w:sz w:val="24"/>
              </w:rPr>
              <w:t>变压器提供，电源引自桥头和东局国网变电站。</w:t>
            </w:r>
          </w:p>
          <w:p>
            <w:pPr>
              <w:pStyle w:val="2"/>
              <w:spacing w:after="0" w:line="440" w:lineRule="exact"/>
              <w:ind w:firstLine="475" w:firstLineChars="198"/>
              <w:rPr>
                <w:sz w:val="24"/>
              </w:rPr>
            </w:pPr>
            <w:r>
              <w:rPr>
                <w:sz w:val="24"/>
              </w:rPr>
              <w:t>2</w:t>
            </w:r>
            <w:r>
              <w:rPr>
                <w:rFonts w:hAnsi="宋体"/>
                <w:sz w:val="24"/>
              </w:rPr>
              <w:t>）配电</w:t>
            </w:r>
          </w:p>
          <w:p>
            <w:pPr>
              <w:pStyle w:val="2"/>
              <w:spacing w:after="0" w:line="440" w:lineRule="exact"/>
              <w:ind w:firstLine="475" w:firstLineChars="198"/>
              <w:rPr>
                <w:sz w:val="24"/>
              </w:rPr>
            </w:pPr>
            <w:r>
              <w:rPr>
                <w:rFonts w:hAnsi="宋体"/>
                <w:sz w:val="24"/>
              </w:rPr>
              <w:t>保德首站在低压配电室备用位置新增一面开关柜，为新增用电设备供电。在新增电动阀、电伴热就近处各设置一面防爆动力配电箱为其配电设备供电。</w:t>
            </w:r>
          </w:p>
          <w:p>
            <w:pPr>
              <w:pStyle w:val="2"/>
              <w:spacing w:after="0" w:line="440" w:lineRule="exact"/>
              <w:ind w:firstLine="475" w:firstLineChars="198"/>
              <w:rPr>
                <w:sz w:val="24"/>
              </w:rPr>
            </w:pPr>
            <w:r>
              <w:rPr>
                <w:sz w:val="24"/>
              </w:rPr>
              <w:t>3</w:t>
            </w:r>
            <w:r>
              <w:rPr>
                <w:rFonts w:hAnsi="宋体"/>
                <w:sz w:val="24"/>
              </w:rPr>
              <w:t>）供电负荷</w:t>
            </w:r>
          </w:p>
          <w:p>
            <w:pPr>
              <w:pStyle w:val="2"/>
              <w:spacing w:after="0" w:line="440" w:lineRule="exact"/>
              <w:ind w:firstLine="475" w:firstLineChars="198"/>
              <w:rPr>
                <w:sz w:val="24"/>
              </w:rPr>
            </w:pPr>
            <w:r>
              <w:rPr>
                <w:rFonts w:hAnsi="宋体"/>
                <w:sz w:val="24"/>
              </w:rPr>
              <w:t>保德首站总用电负荷为</w:t>
            </w:r>
            <w:r>
              <w:rPr>
                <w:sz w:val="24"/>
              </w:rPr>
              <w:t>131kW</w:t>
            </w:r>
            <w:r>
              <w:rPr>
                <w:rFonts w:hAnsi="宋体"/>
                <w:sz w:val="24"/>
              </w:rPr>
              <w:t>。</w:t>
            </w:r>
          </w:p>
          <w:p>
            <w:pPr>
              <w:pStyle w:val="2"/>
              <w:spacing w:after="0" w:line="440" w:lineRule="exact"/>
              <w:ind w:firstLine="475" w:firstLineChars="198"/>
              <w:rPr>
                <w:sz w:val="24"/>
              </w:rPr>
            </w:pPr>
            <w:r>
              <w:rPr>
                <w:sz w:val="24"/>
              </w:rPr>
              <w:t>4</w:t>
            </w:r>
            <w:r>
              <w:rPr>
                <w:rFonts w:hAnsi="宋体"/>
                <w:sz w:val="24"/>
              </w:rPr>
              <w:t>）防雷防静电保护</w:t>
            </w:r>
          </w:p>
          <w:p>
            <w:pPr>
              <w:pStyle w:val="86"/>
              <w:ind w:firstLine="480"/>
              <w:rPr>
                <w:rFonts w:cs="Times New Roman"/>
                <w:szCs w:val="24"/>
              </w:rPr>
            </w:pPr>
            <w:r>
              <w:rPr>
                <w:rFonts w:hAnsi="宋体" w:cs="Times New Roman"/>
                <w:szCs w:val="24"/>
              </w:rPr>
              <w:t>本工程防静电及接地采用措施：在爆炸危险场所中凡生产储存过程有可能产生静电的管道、设备、金属导体等均应做防静电接地。输气管线的法兰</w:t>
            </w:r>
            <w:r>
              <w:rPr>
                <w:rFonts w:cs="Times New Roman"/>
                <w:szCs w:val="24"/>
              </w:rPr>
              <w:t>(</w:t>
            </w:r>
            <w:r>
              <w:rPr>
                <w:rFonts w:hAnsi="宋体" w:cs="Times New Roman"/>
                <w:szCs w:val="24"/>
              </w:rPr>
              <w:t>绝缘法兰除外</w:t>
            </w:r>
            <w:r>
              <w:rPr>
                <w:rFonts w:cs="Times New Roman"/>
                <w:szCs w:val="24"/>
              </w:rPr>
              <w:t>)</w:t>
            </w:r>
            <w:r>
              <w:rPr>
                <w:rFonts w:hAnsi="宋体" w:cs="Times New Roman"/>
                <w:szCs w:val="24"/>
              </w:rPr>
              <w:t>、阀门连接处，当连接螺栓数量少于</w:t>
            </w:r>
            <w:r>
              <w:rPr>
                <w:rFonts w:cs="Times New Roman"/>
                <w:szCs w:val="24"/>
              </w:rPr>
              <w:t>5</w:t>
            </w:r>
            <w:r>
              <w:rPr>
                <w:rFonts w:hAnsi="宋体" w:cs="Times New Roman"/>
                <w:szCs w:val="24"/>
              </w:rPr>
              <w:t>个时，应采用金属线跨接；站内的接地系统采用</w:t>
            </w:r>
            <w:r>
              <w:rPr>
                <w:rFonts w:cs="Times New Roman"/>
                <w:szCs w:val="24"/>
              </w:rPr>
              <w:t>TN-S</w:t>
            </w:r>
            <w:r>
              <w:rPr>
                <w:rFonts w:hAnsi="宋体" w:cs="Times New Roman"/>
                <w:szCs w:val="24"/>
              </w:rPr>
              <w:t>系统，站内电气接地、自控、通信的保护接地及工作接地、防雷防静电接地等共用同一接地装置，站内做好均压措施，接地电阻不大于</w:t>
            </w:r>
            <w:r>
              <w:rPr>
                <w:rFonts w:cs="Times New Roman"/>
                <w:szCs w:val="24"/>
              </w:rPr>
              <w:t>1</w:t>
            </w:r>
            <w:r>
              <w:rPr>
                <w:rFonts w:hAnsi="宋体" w:cs="Times New Roman"/>
                <w:szCs w:val="24"/>
              </w:rPr>
              <w:t>欧。电力设备的部分金属部分，均应可靠接地。</w:t>
            </w:r>
          </w:p>
          <w:p>
            <w:pPr>
              <w:spacing w:line="460" w:lineRule="exact"/>
              <w:ind w:firstLine="480" w:firstLineChars="200"/>
              <w:rPr>
                <w:sz w:val="24"/>
              </w:rPr>
            </w:pPr>
            <w:r>
              <w:rPr>
                <w:rFonts w:hint="eastAsia" w:ascii="宋体" w:hAnsi="宋体" w:cs="宋体"/>
                <w:sz w:val="24"/>
              </w:rPr>
              <w:t>④</w:t>
            </w:r>
            <w:r>
              <w:rPr>
                <w:sz w:val="24"/>
              </w:rPr>
              <w:t>给排水</w:t>
            </w:r>
          </w:p>
          <w:p>
            <w:pPr>
              <w:pStyle w:val="101"/>
              <w:spacing w:line="440" w:lineRule="exact"/>
              <w:ind w:firstLine="480"/>
              <w:rPr>
                <w:rFonts w:ascii="Times New Roman" w:hAnsi="Times New Roman"/>
                <w:position w:val="0"/>
                <w:sz w:val="24"/>
              </w:rPr>
            </w:pPr>
            <w:r>
              <w:rPr>
                <w:rFonts w:ascii="Times New Roman" w:hAnsi="宋体"/>
                <w:position w:val="0"/>
                <w:sz w:val="24"/>
              </w:rPr>
              <w:t>保德首站扩建工程是在已建站场内进行建设，给排水设施利用站内已建的给排水设施。本工程不新增劳动定员，不会改变各站场现有用排水情况，新增污水排放量。</w:t>
            </w:r>
          </w:p>
          <w:p>
            <w:pPr>
              <w:pStyle w:val="2"/>
              <w:spacing w:after="0" w:line="440" w:lineRule="exact"/>
              <w:ind w:firstLine="480" w:firstLineChars="200"/>
              <w:rPr>
                <w:sz w:val="24"/>
              </w:rPr>
            </w:pPr>
            <w:r>
              <w:rPr>
                <w:rFonts w:hAnsi="宋体"/>
                <w:sz w:val="24"/>
              </w:rPr>
              <w:t>保德首站用水来自崔家墕村水井，接入站内蓄水水箱。</w:t>
            </w:r>
          </w:p>
          <w:p>
            <w:pPr>
              <w:pStyle w:val="2"/>
              <w:spacing w:after="0" w:line="440" w:lineRule="exact"/>
              <w:ind w:firstLine="480" w:firstLineChars="200"/>
              <w:rPr>
                <w:sz w:val="24"/>
              </w:rPr>
            </w:pPr>
            <w:r>
              <w:rPr>
                <w:rFonts w:hAnsi="宋体"/>
                <w:sz w:val="24"/>
              </w:rPr>
              <w:t>生活污水排入站内的沉淀池，大小约为</w:t>
            </w:r>
            <w:r>
              <w:rPr>
                <w:sz w:val="24"/>
              </w:rPr>
              <w:t>50m</w:t>
            </w:r>
            <w:r>
              <w:rPr>
                <w:sz w:val="24"/>
                <w:vertAlign w:val="superscript"/>
              </w:rPr>
              <w:t>3</w:t>
            </w:r>
            <w:r>
              <w:rPr>
                <w:rFonts w:hAnsi="宋体"/>
                <w:sz w:val="24"/>
              </w:rPr>
              <w:t>，位于站场综合办公控制工具房西侧，定期由当地村民定期拉走沤肥。生产废水排入站内排污池，容积约为</w:t>
            </w:r>
            <w:r>
              <w:rPr>
                <w:sz w:val="24"/>
              </w:rPr>
              <w:t>70m</w:t>
            </w:r>
            <w:r>
              <w:rPr>
                <w:sz w:val="24"/>
                <w:vertAlign w:val="superscript"/>
              </w:rPr>
              <w:t>3</w:t>
            </w:r>
            <w:r>
              <w:rPr>
                <w:rFonts w:hAnsi="宋体"/>
                <w:sz w:val="24"/>
              </w:rPr>
              <w:t>，位于站场工艺区的西侧，废水定期由山西松兰环保科技有限公司拉走进行进一步处理。</w:t>
            </w:r>
          </w:p>
          <w:p>
            <w:pPr>
              <w:spacing w:line="460" w:lineRule="exact"/>
              <w:ind w:firstLine="480" w:firstLineChars="200"/>
              <w:rPr>
                <w:sz w:val="24"/>
              </w:rPr>
            </w:pPr>
            <w:r>
              <w:rPr>
                <w:rFonts w:hint="eastAsia" w:ascii="宋体" w:hAnsi="宋体" w:cs="宋体"/>
                <w:sz w:val="24"/>
              </w:rPr>
              <w:t>⑤</w:t>
            </w:r>
            <w:r>
              <w:rPr>
                <w:sz w:val="24"/>
              </w:rPr>
              <w:t>供热采暖</w:t>
            </w:r>
          </w:p>
          <w:p>
            <w:pPr>
              <w:pStyle w:val="2"/>
              <w:spacing w:after="0" w:line="440" w:lineRule="exact"/>
              <w:ind w:firstLine="480" w:firstLineChars="200"/>
              <w:rPr>
                <w:sz w:val="24"/>
              </w:rPr>
            </w:pPr>
            <w:r>
              <w:rPr>
                <w:rFonts w:hAnsi="宋体"/>
                <w:sz w:val="24"/>
              </w:rPr>
              <w:t>保德首站扩建工程是在已建站场内进行建设，供热和暖通依托站内已有设施。本工程不在站场增加建构筑物，因此，不会改变站场现有供热负荷配制情况。</w:t>
            </w:r>
          </w:p>
          <w:p>
            <w:pPr>
              <w:pStyle w:val="86"/>
              <w:ind w:firstLine="480"/>
              <w:rPr>
                <w:rFonts w:cs="Times New Roman"/>
                <w:color w:val="FF0000"/>
              </w:rPr>
            </w:pPr>
            <w:r>
              <w:rPr>
                <w:rFonts w:hAnsi="宋体" w:cs="Times New Roman"/>
              </w:rPr>
              <w:t>保德首站冬季供暖采用</w:t>
            </w:r>
            <w:r>
              <w:rPr>
                <w:rFonts w:cs="Times New Roman"/>
              </w:rPr>
              <w:t>0.23MW</w:t>
            </w:r>
            <w:r>
              <w:rPr>
                <w:rFonts w:hAnsi="宋体" w:cs="Times New Roman"/>
              </w:rPr>
              <w:t>的常压燃气热水锅炉，锅炉房位于站场综合办公控制工具房一层；夏季制冷采用分体空调。</w:t>
            </w:r>
          </w:p>
          <w:p>
            <w:pPr>
              <w:spacing w:line="460" w:lineRule="exact"/>
              <w:ind w:firstLine="482" w:firstLineChars="200"/>
              <w:rPr>
                <w:b/>
                <w:color w:val="auto"/>
                <w:sz w:val="24"/>
              </w:rPr>
            </w:pPr>
            <w:r>
              <w:rPr>
                <w:b/>
                <w:color w:val="auto"/>
                <w:sz w:val="24"/>
              </w:rPr>
              <w:t>实际调查：</w:t>
            </w:r>
          </w:p>
          <w:p>
            <w:pPr>
              <w:pStyle w:val="86"/>
              <w:ind w:firstLine="480"/>
              <w:rPr>
                <w:rFonts w:cs="Times New Roman"/>
                <w:color w:val="FF0000"/>
              </w:rPr>
            </w:pPr>
            <w:r>
              <w:rPr>
                <w:rFonts w:cs="Times New Roman"/>
                <w:color w:val="auto"/>
              </w:rPr>
              <w:t>经调查，</w:t>
            </w:r>
            <w:r>
              <w:rPr>
                <w:rFonts w:hint="eastAsia" w:cs="Times New Roman"/>
                <w:color w:val="auto"/>
              </w:rPr>
              <w:t>保德首站</w:t>
            </w:r>
            <w:r>
              <w:rPr>
                <w:rFonts w:hAnsi="宋体"/>
                <w:color w:val="auto"/>
                <w:sz w:val="24"/>
              </w:rPr>
              <w:t>生产废水</w:t>
            </w:r>
            <w:r>
              <w:rPr>
                <w:rFonts w:hint="eastAsia" w:cs="Times New Roman"/>
                <w:color w:val="auto"/>
              </w:rPr>
              <w:t>由</w:t>
            </w:r>
            <w:r>
              <w:rPr>
                <w:rFonts w:hint="eastAsia" w:cs="Times New Roman"/>
                <w:color w:val="auto"/>
                <w:lang w:val="en-US" w:eastAsia="zh-CN"/>
              </w:rPr>
              <w:t>山西中材桃园环保科技有限公司</w:t>
            </w:r>
            <w:r>
              <w:rPr>
                <w:rFonts w:hint="eastAsia" w:cs="Times New Roman"/>
                <w:color w:val="auto"/>
              </w:rPr>
              <w:t>拉走进行</w:t>
            </w:r>
            <w:r>
              <w:rPr>
                <w:rFonts w:hint="eastAsia" w:cs="Times New Roman"/>
                <w:color w:val="auto"/>
                <w:lang w:val="en-US" w:eastAsia="zh-CN"/>
              </w:rPr>
              <w:t>合理处置</w:t>
            </w:r>
            <w:r>
              <w:rPr>
                <w:rFonts w:cs="Times New Roman"/>
                <w:color w:val="auto"/>
              </w:rPr>
              <w:t>。其余与环评一致。</w:t>
            </w:r>
          </w:p>
          <w:p>
            <w:pPr>
              <w:pStyle w:val="43"/>
              <w:spacing w:line="460" w:lineRule="exact"/>
              <w:ind w:firstLine="472" w:firstLineChars="196"/>
              <w:rPr>
                <w:b/>
                <w:sz w:val="24"/>
                <w:szCs w:val="24"/>
              </w:rPr>
            </w:pPr>
            <w:r>
              <w:rPr>
                <w:rFonts w:hint="eastAsia"/>
                <w:b/>
                <w:sz w:val="24"/>
                <w:szCs w:val="24"/>
              </w:rPr>
              <w:t>6、</w:t>
            </w:r>
            <w:r>
              <w:rPr>
                <w:b/>
                <w:sz w:val="24"/>
                <w:szCs w:val="24"/>
              </w:rPr>
              <w:t>生产工艺流程</w:t>
            </w:r>
          </w:p>
          <w:p>
            <w:pPr>
              <w:spacing w:line="460" w:lineRule="exact"/>
              <w:ind w:firstLine="480"/>
              <w:rPr>
                <w:color w:val="FF0000"/>
                <w:sz w:val="24"/>
              </w:rPr>
            </w:pPr>
            <w:r>
              <w:rPr>
                <w:rFonts w:hint="eastAsia"/>
                <w:sz w:val="24"/>
              </w:rPr>
              <w:t>1</w:t>
            </w:r>
            <w:r>
              <w:rPr>
                <w:sz w:val="24"/>
              </w:rPr>
              <w:t>、</w:t>
            </w:r>
            <w:r>
              <w:rPr>
                <w:rFonts w:hint="eastAsia"/>
                <w:sz w:val="24"/>
              </w:rPr>
              <w:t>管网工程</w:t>
            </w:r>
          </w:p>
          <w:p>
            <w:pPr>
              <w:spacing w:line="460" w:lineRule="exact"/>
              <w:ind w:firstLine="480"/>
              <w:rPr>
                <w:sz w:val="24"/>
              </w:rPr>
            </w:pPr>
            <w:r>
              <w:rPr>
                <w:rFonts w:hint="eastAsia"/>
                <w:sz w:val="24"/>
              </w:rPr>
              <w:t>本管线施工一般地段采取直埋敷设方式，特殊地段根据不同情况进行处理，以适应管道在平面或竖向的变化。</w:t>
            </w:r>
          </w:p>
          <w:p>
            <w:pPr>
              <w:spacing w:line="460" w:lineRule="exact"/>
              <w:ind w:firstLine="480"/>
              <w:rPr>
                <w:sz w:val="24"/>
              </w:rPr>
            </w:pPr>
            <w:r>
              <w:rPr>
                <w:rFonts w:hint="eastAsia"/>
                <w:sz w:val="24"/>
              </w:rPr>
              <w:t>本项目输气管线施工期工艺流程图见图4-4。</w:t>
            </w:r>
          </w:p>
          <w:p>
            <w:pPr>
              <w:spacing w:line="460" w:lineRule="exact"/>
              <w:ind w:firstLine="480"/>
              <w:rPr>
                <w:sz w:val="24"/>
              </w:rPr>
            </w:pPr>
          </w:p>
          <w:p>
            <w:pPr>
              <w:spacing w:line="460" w:lineRule="exact"/>
              <w:ind w:firstLine="480"/>
              <w:rPr>
                <w:sz w:val="24"/>
              </w:rPr>
            </w:pPr>
          </w:p>
          <w:p>
            <w:pPr>
              <w:spacing w:line="460" w:lineRule="exact"/>
              <w:ind w:firstLine="480"/>
              <w:rPr>
                <w:sz w:val="24"/>
              </w:rPr>
            </w:pPr>
          </w:p>
          <w:p>
            <w:pPr>
              <w:spacing w:line="460" w:lineRule="exact"/>
              <w:ind w:firstLine="480"/>
              <w:rPr>
                <w:sz w:val="24"/>
              </w:rPr>
            </w:pPr>
          </w:p>
          <w:p>
            <w:pPr>
              <w:spacing w:line="460" w:lineRule="exact"/>
              <w:ind w:firstLine="480"/>
              <w:rPr>
                <w:sz w:val="24"/>
              </w:rPr>
            </w:pPr>
          </w:p>
          <w:p>
            <w:pPr>
              <w:spacing w:line="460" w:lineRule="exact"/>
              <w:ind w:firstLine="480"/>
              <w:rPr>
                <w:sz w:val="24"/>
              </w:rPr>
            </w:pPr>
          </w:p>
          <w:p>
            <w:pPr>
              <w:spacing w:line="460" w:lineRule="exact"/>
              <w:ind w:firstLine="480"/>
              <w:rPr>
                <w:sz w:val="24"/>
              </w:rPr>
            </w:pPr>
          </w:p>
          <w:p>
            <w:pPr>
              <w:ind w:firstLine="420" w:firstLineChars="200"/>
              <w:jc w:val="center"/>
              <w:rPr>
                <w:sz w:val="24"/>
              </w:rPr>
            </w:pPr>
            <w:r>
              <w:object>
                <v:shape id="_x0000_i1025" o:spt="75" type="#_x0000_t75" style="height:384.75pt;width:243pt;" o:ole="t" filled="f" o:preferrelative="t" stroked="f" coordsize="21600,21600">
                  <v:path/>
                  <v:fill on="f" focussize="0,0"/>
                  <v:stroke on="f" joinstyle="miter"/>
                  <v:imagedata r:id="rId11" o:title=""/>
                  <o:lock v:ext="edit" aspectratio="t"/>
                  <w10:wrap type="none"/>
                  <w10:anchorlock/>
                </v:shape>
                <o:OLEObject Type="Embed" ProgID="Visio.Drawing.11" ShapeID="_x0000_i1025" DrawAspect="Content" ObjectID="_1468075725" r:id="rId10">
                  <o:LockedField>false</o:LockedField>
                </o:OLEObject>
              </w:object>
            </w:r>
          </w:p>
          <w:p>
            <w:pPr>
              <w:pStyle w:val="78"/>
              <w:spacing w:line="440" w:lineRule="exact"/>
              <w:ind w:firstLine="3040" w:firstLineChars="1442"/>
              <w:jc w:val="both"/>
              <w:rPr>
                <w:rFonts w:eastAsia="宋体"/>
                <w:sz w:val="21"/>
                <w:szCs w:val="21"/>
              </w:rPr>
            </w:pPr>
            <w:r>
              <w:rPr>
                <w:rFonts w:hint="default" w:ascii="Times New Roman" w:hAnsi="Times New Roman" w:eastAsia="宋体" w:cs="Times New Roman"/>
                <w:b/>
                <w:sz w:val="21"/>
                <w:szCs w:val="21"/>
              </w:rPr>
              <w:t>图4-4 施工期</w:t>
            </w:r>
            <w:r>
              <w:rPr>
                <w:rFonts w:hint="eastAsia" w:eastAsia="宋体"/>
                <w:b/>
                <w:sz w:val="21"/>
                <w:szCs w:val="21"/>
              </w:rPr>
              <w:t>管线工艺流程图</w:t>
            </w:r>
          </w:p>
          <w:p>
            <w:pPr>
              <w:spacing w:line="460" w:lineRule="exact"/>
              <w:ind w:firstLine="480"/>
              <w:rPr>
                <w:sz w:val="24"/>
              </w:rPr>
            </w:pPr>
          </w:p>
          <w:p>
            <w:pPr>
              <w:spacing w:line="460" w:lineRule="exact"/>
              <w:ind w:firstLine="480"/>
              <w:rPr>
                <w:sz w:val="24"/>
              </w:rPr>
            </w:pPr>
            <w:r>
              <w:rPr>
                <w:rFonts w:hint="eastAsia"/>
                <w:sz w:val="24"/>
              </w:rPr>
              <w:t>本项目施工工艺介绍如下：</w:t>
            </w:r>
          </w:p>
          <w:p>
            <w:pPr>
              <w:spacing w:line="460" w:lineRule="exact"/>
              <w:ind w:firstLine="480"/>
              <w:rPr>
                <w:sz w:val="24"/>
              </w:rPr>
            </w:pPr>
            <w:r>
              <w:rPr>
                <w:rFonts w:hint="eastAsia"/>
                <w:sz w:val="24"/>
              </w:rPr>
              <w:t>（</w:t>
            </w:r>
            <w:r>
              <w:rPr>
                <w:sz w:val="24"/>
              </w:rPr>
              <w:t>1</w:t>
            </w:r>
            <w:r>
              <w:rPr>
                <w:rFonts w:hint="eastAsia"/>
                <w:sz w:val="24"/>
              </w:rPr>
              <w:t>）施工作业带清理</w:t>
            </w:r>
          </w:p>
          <w:p>
            <w:pPr>
              <w:spacing w:line="460" w:lineRule="exact"/>
              <w:ind w:firstLine="480"/>
              <w:rPr>
                <w:sz w:val="24"/>
              </w:rPr>
            </w:pPr>
            <w:r>
              <w:rPr>
                <w:rFonts w:hint="eastAsia"/>
                <w:sz w:val="24"/>
              </w:rPr>
              <w:t>在施工作业带范围内，对于影响施工机具通行或施工作业的石块、杂草、树木清理干净，有积水的地势低洼地段</w:t>
            </w:r>
            <w:r>
              <w:rPr>
                <w:rFonts w:hint="eastAsia"/>
                <w:sz w:val="24"/>
                <w:lang w:val="en-US" w:eastAsia="zh-CN"/>
              </w:rPr>
              <w:t>进行</w:t>
            </w:r>
            <w:r>
              <w:rPr>
                <w:rFonts w:hint="eastAsia"/>
                <w:sz w:val="24"/>
              </w:rPr>
              <w:t>排水。施工作业带清理时，</w:t>
            </w:r>
            <w:r>
              <w:rPr>
                <w:rFonts w:hint="eastAsia"/>
                <w:sz w:val="24"/>
                <w:lang w:val="en-US" w:eastAsia="zh-CN"/>
              </w:rPr>
              <w:t>对</w:t>
            </w:r>
            <w:r>
              <w:rPr>
                <w:rFonts w:hint="eastAsia"/>
                <w:sz w:val="24"/>
              </w:rPr>
              <w:t>土地</w:t>
            </w:r>
            <w:r>
              <w:rPr>
                <w:rFonts w:hint="eastAsia"/>
                <w:sz w:val="24"/>
                <w:lang w:val="en-US" w:eastAsia="zh-CN"/>
              </w:rPr>
              <w:t>进行</w:t>
            </w:r>
            <w:r>
              <w:rPr>
                <w:rFonts w:hint="eastAsia"/>
                <w:sz w:val="24"/>
              </w:rPr>
              <w:t>保护，减少或防止水土流失，减少破坏地表植物。施工作业带清理完毕后，按照相关规范修筑施工便道。</w:t>
            </w:r>
          </w:p>
          <w:p>
            <w:pPr>
              <w:spacing w:line="460" w:lineRule="exact"/>
              <w:ind w:firstLine="480"/>
              <w:rPr>
                <w:sz w:val="24"/>
              </w:rPr>
            </w:pPr>
            <w:r>
              <w:rPr>
                <w:rFonts w:hint="eastAsia"/>
                <w:sz w:val="24"/>
              </w:rPr>
              <w:t>（</w:t>
            </w:r>
            <w:r>
              <w:rPr>
                <w:sz w:val="24"/>
              </w:rPr>
              <w:t>2</w:t>
            </w:r>
            <w:r>
              <w:rPr>
                <w:rFonts w:hint="eastAsia"/>
                <w:sz w:val="24"/>
              </w:rPr>
              <w:t>）管沟开挖、穿越工程</w:t>
            </w:r>
          </w:p>
          <w:p>
            <w:pPr>
              <w:spacing w:line="460" w:lineRule="exact"/>
              <w:ind w:firstLine="480"/>
              <w:rPr>
                <w:sz w:val="24"/>
              </w:rPr>
            </w:pPr>
            <w:r>
              <w:rPr>
                <w:rFonts w:hint="eastAsia"/>
                <w:sz w:val="24"/>
              </w:rPr>
              <w:t>本工程敷设管线全线多采用大开挖方式，管沟开挖时，将挖出的土石方堆放到焊接施工对面一侧的沟边。</w:t>
            </w:r>
          </w:p>
          <w:p>
            <w:pPr>
              <w:spacing w:line="460" w:lineRule="exact"/>
              <w:ind w:firstLine="480"/>
              <w:rPr>
                <w:sz w:val="24"/>
              </w:rPr>
            </w:pPr>
            <w:r>
              <w:rPr>
                <w:rFonts w:hint="eastAsia"/>
                <w:sz w:val="24"/>
              </w:rPr>
              <w:t>在农田耕作区、林区开挖管沟时，采用大开挖方式，将表层耕作土与下层土分别堆放。</w:t>
            </w:r>
          </w:p>
          <w:p>
            <w:pPr>
              <w:spacing w:line="460" w:lineRule="exact"/>
              <w:ind w:firstLine="480"/>
              <w:rPr>
                <w:sz w:val="24"/>
              </w:rPr>
            </w:pPr>
            <w:r>
              <w:rPr>
                <w:rFonts w:hint="eastAsia"/>
                <w:sz w:val="24"/>
              </w:rPr>
              <w:t>管道沿线穿越乡村公路及机耕道等，采用开挖直埋方式；穿越水泥路时采用顶管加保护套管的方式。</w:t>
            </w:r>
          </w:p>
          <w:p>
            <w:pPr>
              <w:spacing w:line="460" w:lineRule="exact"/>
              <w:ind w:firstLine="480"/>
              <w:rPr>
                <w:sz w:val="24"/>
              </w:rPr>
            </w:pPr>
            <w:r>
              <w:rPr>
                <w:rFonts w:hint="eastAsia"/>
                <w:sz w:val="24"/>
              </w:rPr>
              <w:t>管道穿越高速公路采用顶管加保护套管的方式穿越，对于县级以下公路采用开挖直埋或顶管加保护套管的方式穿越。</w:t>
            </w:r>
          </w:p>
          <w:p>
            <w:pPr>
              <w:spacing w:line="460" w:lineRule="exact"/>
              <w:ind w:firstLine="480"/>
              <w:rPr>
                <w:sz w:val="24"/>
              </w:rPr>
            </w:pPr>
            <w:r>
              <w:rPr>
                <w:rFonts w:hint="eastAsia"/>
                <w:sz w:val="24"/>
              </w:rPr>
              <w:t>管道穿越朱家川河采用围堰大开挖穿越。河流穿越具体施工方案为：施工前期准备—修筑导流渠—围堰—管道就位—管沟开挖—管沟复测—管沟回填—水土保护—地貌恢复。</w:t>
            </w:r>
          </w:p>
          <w:p>
            <w:pPr>
              <w:spacing w:line="460" w:lineRule="exact"/>
              <w:ind w:firstLine="480"/>
              <w:rPr>
                <w:sz w:val="24"/>
              </w:rPr>
            </w:pPr>
            <w:r>
              <w:rPr>
                <w:rFonts w:hint="eastAsia"/>
                <w:sz w:val="24"/>
              </w:rPr>
              <w:t>（</w:t>
            </w:r>
            <w:r>
              <w:rPr>
                <w:sz w:val="24"/>
              </w:rPr>
              <w:t>3</w:t>
            </w:r>
            <w:r>
              <w:rPr>
                <w:rFonts w:hint="eastAsia"/>
                <w:sz w:val="24"/>
              </w:rPr>
              <w:t>）管道组装、焊接及验收</w:t>
            </w:r>
          </w:p>
          <w:p>
            <w:pPr>
              <w:spacing w:line="460" w:lineRule="exact"/>
              <w:ind w:firstLine="480"/>
              <w:rPr>
                <w:sz w:val="24"/>
              </w:rPr>
            </w:pPr>
            <w:r>
              <w:rPr>
                <w:rFonts w:hint="eastAsia"/>
                <w:sz w:val="24"/>
              </w:rPr>
              <w:t>管道布管时首尾衔接，相邻两管口呈锯齿形错开，布管时根据设计图纸的要求按顺序排列。</w:t>
            </w:r>
          </w:p>
          <w:p>
            <w:pPr>
              <w:spacing w:line="460" w:lineRule="exact"/>
              <w:ind w:firstLine="480"/>
              <w:rPr>
                <w:rFonts w:hint="eastAsia"/>
                <w:sz w:val="24"/>
              </w:rPr>
            </w:pPr>
            <w:r>
              <w:rPr>
                <w:rFonts w:hint="eastAsia"/>
                <w:sz w:val="24"/>
              </w:rPr>
              <w:t>管道组焊方式采用沟上焊接，管道焊接完成后，对所有焊缝进行外观检查和内部检验，对出现的不合格焊缝进行返修。</w:t>
            </w:r>
          </w:p>
          <w:p>
            <w:pPr>
              <w:spacing w:line="460" w:lineRule="exact"/>
              <w:ind w:firstLine="480"/>
              <w:rPr>
                <w:sz w:val="24"/>
              </w:rPr>
            </w:pPr>
            <w:r>
              <w:rPr>
                <w:rFonts w:hint="eastAsia"/>
                <w:sz w:val="24"/>
              </w:rPr>
              <w:t>管线在焊接、无损检测、补口完成后，下沟。</w:t>
            </w:r>
          </w:p>
          <w:p>
            <w:pPr>
              <w:spacing w:line="460" w:lineRule="exact"/>
              <w:ind w:firstLine="480"/>
              <w:rPr>
                <w:sz w:val="24"/>
              </w:rPr>
            </w:pPr>
            <w:r>
              <w:rPr>
                <w:rFonts w:hint="eastAsia"/>
                <w:sz w:val="24"/>
              </w:rPr>
              <w:t>（</w:t>
            </w:r>
            <w:r>
              <w:rPr>
                <w:sz w:val="24"/>
              </w:rPr>
              <w:t>4</w:t>
            </w:r>
            <w:r>
              <w:rPr>
                <w:rFonts w:hint="eastAsia"/>
                <w:sz w:val="24"/>
              </w:rPr>
              <w:t>）管道下沟</w:t>
            </w:r>
          </w:p>
          <w:p>
            <w:pPr>
              <w:spacing w:line="460" w:lineRule="exact"/>
              <w:ind w:firstLine="480"/>
              <w:rPr>
                <w:rFonts w:hint="eastAsia" w:eastAsia="宋体"/>
                <w:sz w:val="24"/>
                <w:lang w:eastAsia="zh-CN"/>
              </w:rPr>
            </w:pPr>
            <w:r>
              <w:rPr>
                <w:rFonts w:hint="eastAsia"/>
                <w:sz w:val="24"/>
              </w:rPr>
              <w:t>下沟前，清除沟内的所有杂物，沟内积水抽净</w:t>
            </w:r>
            <w:r>
              <w:rPr>
                <w:rFonts w:hint="eastAsia"/>
                <w:sz w:val="24"/>
                <w:lang w:eastAsia="zh-CN"/>
              </w:rPr>
              <w:t>，</w:t>
            </w:r>
            <w:r>
              <w:rPr>
                <w:rFonts w:hint="eastAsia"/>
                <w:sz w:val="24"/>
              </w:rPr>
              <w:t>并对管道内部进行清理</w:t>
            </w:r>
            <w:r>
              <w:rPr>
                <w:rFonts w:hint="eastAsia"/>
                <w:sz w:val="24"/>
                <w:lang w:eastAsia="zh-CN"/>
              </w:rPr>
              <w:t>。</w:t>
            </w:r>
          </w:p>
          <w:p>
            <w:pPr>
              <w:spacing w:line="460" w:lineRule="exact"/>
              <w:ind w:firstLine="480"/>
              <w:rPr>
                <w:sz w:val="24"/>
              </w:rPr>
            </w:pPr>
            <w:r>
              <w:rPr>
                <w:rFonts w:hint="eastAsia"/>
                <w:sz w:val="24"/>
              </w:rPr>
              <w:t>（</w:t>
            </w:r>
            <w:r>
              <w:rPr>
                <w:sz w:val="24"/>
              </w:rPr>
              <w:t>5</w:t>
            </w:r>
            <w:r>
              <w:rPr>
                <w:rFonts w:hint="eastAsia"/>
                <w:sz w:val="24"/>
              </w:rPr>
              <w:t>）管道回填</w:t>
            </w:r>
          </w:p>
          <w:p>
            <w:pPr>
              <w:spacing w:line="460" w:lineRule="exact"/>
              <w:ind w:firstLine="480"/>
              <w:rPr>
                <w:rFonts w:hint="eastAsia"/>
                <w:sz w:val="24"/>
              </w:rPr>
            </w:pPr>
            <w:r>
              <w:rPr>
                <w:rFonts w:hint="eastAsia"/>
                <w:sz w:val="24"/>
              </w:rPr>
              <w:t>管道回填先填实管底，再同时投填管道两侧，然后回填至地面标高下</w:t>
            </w:r>
            <w:r>
              <w:rPr>
                <w:sz w:val="24"/>
              </w:rPr>
              <w:t>0.5m</w:t>
            </w:r>
            <w:r>
              <w:rPr>
                <w:rFonts w:hint="eastAsia"/>
                <w:sz w:val="24"/>
              </w:rPr>
              <w:t>处设置警示带，并标出醒目的提示字样，警示带随管道走向全程埋设。</w:t>
            </w:r>
          </w:p>
          <w:p>
            <w:pPr>
              <w:spacing w:line="460" w:lineRule="exact"/>
              <w:ind w:firstLine="480"/>
              <w:rPr>
                <w:sz w:val="24"/>
              </w:rPr>
            </w:pPr>
            <w:r>
              <w:rPr>
                <w:rFonts w:hint="eastAsia"/>
                <w:sz w:val="24"/>
              </w:rPr>
              <w:t>（</w:t>
            </w:r>
            <w:r>
              <w:rPr>
                <w:sz w:val="24"/>
              </w:rPr>
              <w:t>6</w:t>
            </w:r>
            <w:r>
              <w:rPr>
                <w:rFonts w:hint="eastAsia"/>
                <w:sz w:val="24"/>
              </w:rPr>
              <w:t>）清管</w:t>
            </w:r>
          </w:p>
          <w:p>
            <w:pPr>
              <w:spacing w:line="460" w:lineRule="exact"/>
              <w:ind w:firstLine="480"/>
              <w:rPr>
                <w:rFonts w:hint="eastAsia"/>
                <w:sz w:val="24"/>
              </w:rPr>
            </w:pPr>
            <w:r>
              <w:rPr>
                <w:rFonts w:hint="eastAsia"/>
                <w:sz w:val="24"/>
              </w:rPr>
              <w:t>试压前采用清管球进行清管，使管内存留的泥土、水、氧化铁屑等排除干净。</w:t>
            </w:r>
          </w:p>
          <w:p>
            <w:pPr>
              <w:spacing w:line="460" w:lineRule="exact"/>
              <w:ind w:firstLine="480"/>
              <w:rPr>
                <w:sz w:val="24"/>
              </w:rPr>
            </w:pPr>
            <w:r>
              <w:rPr>
                <w:rFonts w:hint="eastAsia"/>
                <w:sz w:val="24"/>
              </w:rPr>
              <w:t>（</w:t>
            </w:r>
            <w:r>
              <w:rPr>
                <w:sz w:val="24"/>
              </w:rPr>
              <w:t>7</w:t>
            </w:r>
            <w:r>
              <w:rPr>
                <w:rFonts w:hint="eastAsia"/>
                <w:sz w:val="24"/>
              </w:rPr>
              <w:t>）试压</w:t>
            </w:r>
          </w:p>
          <w:p>
            <w:pPr>
              <w:spacing w:line="460" w:lineRule="exact"/>
              <w:ind w:firstLine="480"/>
              <w:rPr>
                <w:sz w:val="24"/>
              </w:rPr>
            </w:pPr>
            <w:r>
              <w:rPr>
                <w:rFonts w:hint="eastAsia"/>
                <w:sz w:val="24"/>
              </w:rPr>
              <w:t>本工程输气管道普通地段试压按照三级地区考虑，采用洁净水作为试压介质。</w:t>
            </w:r>
          </w:p>
          <w:p>
            <w:pPr>
              <w:spacing w:line="460" w:lineRule="exact"/>
              <w:ind w:firstLine="480"/>
              <w:rPr>
                <w:sz w:val="24"/>
              </w:rPr>
            </w:pPr>
            <w:r>
              <w:rPr>
                <w:rFonts w:hint="eastAsia"/>
                <w:sz w:val="24"/>
              </w:rPr>
              <w:t>穿越小型河流、沟渠和一般公路的管段不进行单独试压，与所在管段一起进行强度试验和严密性试验。</w:t>
            </w:r>
          </w:p>
          <w:p>
            <w:pPr>
              <w:spacing w:line="460" w:lineRule="exact"/>
              <w:ind w:firstLine="480"/>
              <w:rPr>
                <w:sz w:val="24"/>
              </w:rPr>
            </w:pPr>
            <w:r>
              <w:rPr>
                <w:rFonts w:hint="eastAsia"/>
                <w:sz w:val="24"/>
              </w:rPr>
              <w:t>（</w:t>
            </w:r>
            <w:r>
              <w:rPr>
                <w:sz w:val="24"/>
              </w:rPr>
              <w:t>8</w:t>
            </w:r>
            <w:r>
              <w:rPr>
                <w:rFonts w:hint="eastAsia"/>
                <w:sz w:val="24"/>
              </w:rPr>
              <w:t>）严密性试验</w:t>
            </w:r>
          </w:p>
          <w:p>
            <w:pPr>
              <w:spacing w:line="460" w:lineRule="exact"/>
              <w:ind w:firstLine="480"/>
              <w:rPr>
                <w:rFonts w:hint="eastAsia"/>
                <w:sz w:val="24"/>
                <w:lang w:eastAsia="zh-CN"/>
              </w:rPr>
            </w:pPr>
            <w:r>
              <w:rPr>
                <w:rFonts w:hint="eastAsia"/>
                <w:sz w:val="24"/>
              </w:rPr>
              <w:t>强度试压合格后，降压至设计压力做严密性试验</w:t>
            </w:r>
            <w:r>
              <w:rPr>
                <w:rFonts w:hint="eastAsia"/>
                <w:sz w:val="24"/>
                <w:lang w:eastAsia="zh-CN"/>
              </w:rPr>
              <w:t>。</w:t>
            </w:r>
          </w:p>
          <w:p>
            <w:pPr>
              <w:spacing w:line="460" w:lineRule="exact"/>
              <w:ind w:firstLine="480"/>
              <w:rPr>
                <w:sz w:val="24"/>
              </w:rPr>
            </w:pPr>
            <w:r>
              <w:rPr>
                <w:rFonts w:hint="eastAsia"/>
                <w:sz w:val="24"/>
              </w:rPr>
              <w:t>（</w:t>
            </w:r>
            <w:r>
              <w:rPr>
                <w:sz w:val="24"/>
              </w:rPr>
              <w:t>9</w:t>
            </w:r>
            <w:r>
              <w:rPr>
                <w:rFonts w:hint="eastAsia"/>
                <w:sz w:val="24"/>
              </w:rPr>
              <w:t>）吹扫</w:t>
            </w:r>
          </w:p>
          <w:p>
            <w:pPr>
              <w:spacing w:line="460" w:lineRule="exact"/>
              <w:ind w:firstLine="480"/>
              <w:rPr>
                <w:sz w:val="24"/>
              </w:rPr>
            </w:pPr>
            <w:r>
              <w:rPr>
                <w:rFonts w:hint="eastAsia"/>
                <w:sz w:val="24"/>
              </w:rPr>
              <w:t>严密性试验合格后，用压缩空气推动清管器进行排水吹扫，吹扫反复数次，直至所有管道吹扫干净。</w:t>
            </w:r>
          </w:p>
          <w:p>
            <w:pPr>
              <w:spacing w:line="460" w:lineRule="exact"/>
              <w:ind w:firstLine="480"/>
              <w:rPr>
                <w:sz w:val="24"/>
              </w:rPr>
            </w:pPr>
            <w:r>
              <w:rPr>
                <w:rFonts w:hint="eastAsia"/>
                <w:sz w:val="24"/>
              </w:rPr>
              <w:t>（</w:t>
            </w:r>
            <w:r>
              <w:rPr>
                <w:sz w:val="24"/>
              </w:rPr>
              <w:t>10</w:t>
            </w:r>
            <w:r>
              <w:rPr>
                <w:rFonts w:hint="eastAsia"/>
                <w:sz w:val="24"/>
              </w:rPr>
              <w:t>）管道干燥</w:t>
            </w:r>
          </w:p>
          <w:p>
            <w:pPr>
              <w:spacing w:line="460" w:lineRule="exact"/>
              <w:ind w:firstLine="480"/>
              <w:rPr>
                <w:rFonts w:hint="eastAsia" w:eastAsia="宋体"/>
                <w:sz w:val="24"/>
                <w:lang w:eastAsia="zh-CN"/>
              </w:rPr>
            </w:pPr>
            <w:r>
              <w:rPr>
                <w:rFonts w:hint="eastAsia"/>
                <w:sz w:val="24"/>
              </w:rPr>
              <w:t>输气管道投产前进行干燥，管道干燥后如不立即投入运行，充入干燥氮气，保持干燥状态下密封</w:t>
            </w:r>
            <w:r>
              <w:rPr>
                <w:rFonts w:hint="eastAsia"/>
                <w:sz w:val="24"/>
                <w:lang w:eastAsia="zh-CN"/>
              </w:rPr>
              <w:t>。</w:t>
            </w:r>
          </w:p>
          <w:p>
            <w:pPr>
              <w:spacing w:line="460" w:lineRule="exact"/>
              <w:ind w:firstLine="480"/>
              <w:rPr>
                <w:sz w:val="24"/>
              </w:rPr>
            </w:pPr>
            <w:r>
              <w:rPr>
                <w:rFonts w:hint="eastAsia"/>
                <w:sz w:val="24"/>
              </w:rPr>
              <w:t>（</w:t>
            </w:r>
            <w:r>
              <w:rPr>
                <w:sz w:val="24"/>
              </w:rPr>
              <w:t>11</w:t>
            </w:r>
            <w:r>
              <w:rPr>
                <w:rFonts w:hint="eastAsia"/>
                <w:sz w:val="24"/>
              </w:rPr>
              <w:t>）置换</w:t>
            </w:r>
          </w:p>
          <w:p>
            <w:pPr>
              <w:spacing w:line="460" w:lineRule="exact"/>
              <w:ind w:firstLine="480"/>
              <w:rPr>
                <w:sz w:val="24"/>
              </w:rPr>
            </w:pPr>
            <w:r>
              <w:rPr>
                <w:rFonts w:hint="eastAsia"/>
                <w:sz w:val="24"/>
              </w:rPr>
              <w:t>本工程输气管道投运前采用氮气对管道内空气置换。</w:t>
            </w:r>
          </w:p>
          <w:p>
            <w:pPr>
              <w:spacing w:line="460" w:lineRule="exact"/>
              <w:ind w:firstLine="480"/>
              <w:rPr>
                <w:sz w:val="24"/>
              </w:rPr>
            </w:pPr>
            <w:r>
              <w:rPr>
                <w:rFonts w:hint="eastAsia"/>
                <w:sz w:val="24"/>
              </w:rPr>
              <w:t>（</w:t>
            </w:r>
            <w:r>
              <w:rPr>
                <w:sz w:val="24"/>
              </w:rPr>
              <w:t>12</w:t>
            </w:r>
            <w:r>
              <w:rPr>
                <w:rFonts w:hint="eastAsia"/>
                <w:sz w:val="24"/>
              </w:rPr>
              <w:t>）设置标志</w:t>
            </w:r>
          </w:p>
          <w:p>
            <w:pPr>
              <w:spacing w:line="460" w:lineRule="exact"/>
              <w:ind w:firstLine="480"/>
              <w:rPr>
                <w:sz w:val="24"/>
              </w:rPr>
            </w:pPr>
            <w:r>
              <w:rPr>
                <w:rFonts w:hint="eastAsia"/>
                <w:sz w:val="24"/>
              </w:rPr>
              <w:t>回填后，在管道沿线设里程桩、转角桩、阴极保护测试桩和穿越标志等。</w:t>
            </w:r>
          </w:p>
          <w:p>
            <w:pPr>
              <w:spacing w:line="460" w:lineRule="exact"/>
              <w:ind w:firstLine="480"/>
              <w:rPr>
                <w:sz w:val="24"/>
              </w:rPr>
            </w:pPr>
            <w:r>
              <w:rPr>
                <w:rFonts w:hint="eastAsia"/>
                <w:sz w:val="24"/>
              </w:rPr>
              <w:t>（</w:t>
            </w:r>
            <w:r>
              <w:rPr>
                <w:sz w:val="24"/>
              </w:rPr>
              <w:t>13</w:t>
            </w:r>
            <w:r>
              <w:rPr>
                <w:rFonts w:hint="eastAsia"/>
                <w:sz w:val="24"/>
              </w:rPr>
              <w:t>）生态恢复</w:t>
            </w:r>
          </w:p>
          <w:p>
            <w:pPr>
              <w:spacing w:line="460" w:lineRule="exact"/>
              <w:ind w:firstLine="480"/>
              <w:rPr>
                <w:sz w:val="24"/>
              </w:rPr>
            </w:pPr>
            <w:r>
              <w:rPr>
                <w:rFonts w:hint="eastAsia"/>
                <w:sz w:val="24"/>
              </w:rPr>
              <w:t>施工结束后进行生态恢复，主要恢复地形地貌、植被和农业生产。</w:t>
            </w:r>
          </w:p>
          <w:p>
            <w:pPr>
              <w:spacing w:line="460" w:lineRule="exact"/>
              <w:ind w:firstLine="480"/>
              <w:rPr>
                <w:sz w:val="24"/>
              </w:rPr>
            </w:pPr>
            <w:r>
              <w:rPr>
                <w:rFonts w:hint="eastAsia"/>
                <w:sz w:val="24"/>
              </w:rPr>
              <w:t>（</w:t>
            </w:r>
            <w:r>
              <w:rPr>
                <w:sz w:val="24"/>
              </w:rPr>
              <w:t>14</w:t>
            </w:r>
            <w:r>
              <w:rPr>
                <w:rFonts w:hint="eastAsia"/>
                <w:sz w:val="24"/>
              </w:rPr>
              <w:t>）竣工验收及投产供气</w:t>
            </w:r>
          </w:p>
          <w:p>
            <w:pPr>
              <w:spacing w:line="460" w:lineRule="exact"/>
              <w:ind w:firstLine="480"/>
              <w:rPr>
                <w:sz w:val="24"/>
              </w:rPr>
            </w:pPr>
            <w:r>
              <w:rPr>
                <w:rFonts w:hint="eastAsia"/>
                <w:sz w:val="24"/>
              </w:rPr>
              <w:t>本项目全部施工完成后，建设单位申请相关部门进行竣工验收，验收合格后投产供气。</w:t>
            </w:r>
          </w:p>
          <w:p>
            <w:pPr>
              <w:spacing w:line="460" w:lineRule="exact"/>
              <w:ind w:firstLine="480"/>
              <w:rPr>
                <w:sz w:val="24"/>
              </w:rPr>
            </w:pPr>
            <w:r>
              <w:rPr>
                <w:rFonts w:hint="eastAsia"/>
                <w:sz w:val="24"/>
              </w:rPr>
              <w:t>2</w:t>
            </w:r>
            <w:r>
              <w:rPr>
                <w:sz w:val="24"/>
              </w:rPr>
              <w:t>、保德首站扩建</w:t>
            </w:r>
          </w:p>
          <w:p>
            <w:pPr>
              <w:spacing w:line="460" w:lineRule="exact"/>
              <w:ind w:firstLine="480"/>
              <w:rPr>
                <w:sz w:val="24"/>
              </w:rPr>
            </w:pPr>
            <w:r>
              <w:rPr>
                <w:sz w:val="24"/>
              </w:rPr>
              <w:t>保德首站</w:t>
            </w:r>
            <w:r>
              <w:rPr>
                <w:rFonts w:hint="eastAsia"/>
                <w:sz w:val="24"/>
              </w:rPr>
              <w:t>为长输站场，本工程仅考虑在</w:t>
            </w:r>
            <w:r>
              <w:rPr>
                <w:sz w:val="24"/>
              </w:rPr>
              <w:t>在已建保德首站内扩建相应的工艺装置区和出站区，主要设发球装置、计量等设施。</w:t>
            </w:r>
          </w:p>
          <w:p>
            <w:pPr>
              <w:spacing w:line="460" w:lineRule="exact"/>
              <w:ind w:firstLine="480"/>
              <w:rPr>
                <w:color w:val="FF0000"/>
                <w:sz w:val="24"/>
              </w:rPr>
            </w:pPr>
            <w:r>
              <w:rPr>
                <w:sz w:val="24"/>
              </w:rPr>
              <w:t>运营期保德首站扩建工艺流程及产排污环节见图</w:t>
            </w:r>
            <w:r>
              <w:rPr>
                <w:rFonts w:hint="eastAsia"/>
                <w:sz w:val="24"/>
              </w:rPr>
              <w:t>4-5</w:t>
            </w:r>
            <w:r>
              <w:rPr>
                <w:sz w:val="24"/>
              </w:rPr>
              <w:t>。</w:t>
            </w:r>
          </w:p>
          <w:p>
            <w:pPr>
              <w:pStyle w:val="6"/>
              <w:ind w:firstLine="1218" w:firstLineChars="379"/>
            </w:pPr>
            <w:r>
              <w:object>
                <v:shape id="_x0000_i1026" o:spt="75" type="#_x0000_t75" style="height:146.25pt;width:304.5pt;" o:ole="t" filled="f" o:preferrelative="t" stroked="f" coordsize="21600,21600">
                  <v:path/>
                  <v:fill on="f" focussize="0,0"/>
                  <v:stroke on="f" joinstyle="miter"/>
                  <v:imagedata r:id="rId13" o:title=""/>
                  <o:lock v:ext="edit" aspectratio="t"/>
                  <w10:wrap type="none"/>
                  <w10:anchorlock/>
                </v:shape>
                <o:OLEObject Type="Embed" ProgID="Visio.Drawing.11" ShapeID="_x0000_i1026" DrawAspect="Content" ObjectID="_1468075726" r:id="rId12">
                  <o:LockedField>false</o:LockedField>
                </o:OLEObject>
              </w:object>
            </w:r>
          </w:p>
          <w:p>
            <w:pPr>
              <w:pStyle w:val="86"/>
              <w:ind w:firstLine="422"/>
              <w:jc w:val="center"/>
              <w:rPr>
                <w:rFonts w:cs="Times New Roman"/>
              </w:rPr>
            </w:pPr>
            <w:r>
              <w:rPr>
                <w:rFonts w:cs="Times New Roman"/>
                <w:b/>
                <w:sz w:val="21"/>
                <w:szCs w:val="21"/>
              </w:rPr>
              <w:t>图</w:t>
            </w:r>
            <w:r>
              <w:rPr>
                <w:rFonts w:hint="eastAsia" w:cs="Times New Roman"/>
                <w:b/>
                <w:sz w:val="21"/>
                <w:szCs w:val="21"/>
              </w:rPr>
              <w:t>4-5</w:t>
            </w:r>
            <w:r>
              <w:rPr>
                <w:rFonts w:cs="Times New Roman"/>
                <w:b/>
                <w:sz w:val="21"/>
                <w:szCs w:val="21"/>
              </w:rPr>
              <w:t>运营期保德首站扩建工艺流程及产排污环节图</w:t>
            </w:r>
          </w:p>
          <w:p>
            <w:pPr>
              <w:spacing w:line="420" w:lineRule="exact"/>
              <w:rPr>
                <w:b/>
                <w:color w:val="FF0000"/>
                <w:sz w:val="24"/>
              </w:rPr>
            </w:pPr>
          </w:p>
          <w:p>
            <w:pPr>
              <w:spacing w:line="420" w:lineRule="exact"/>
              <w:ind w:firstLine="472" w:firstLineChars="196"/>
              <w:rPr>
                <w:b/>
                <w:sz w:val="24"/>
              </w:rPr>
            </w:pPr>
            <w:r>
              <w:rPr>
                <w:rFonts w:hint="eastAsia"/>
                <w:b/>
                <w:sz w:val="24"/>
              </w:rPr>
              <w:t>7、</w:t>
            </w:r>
            <w:r>
              <w:rPr>
                <w:b/>
                <w:sz w:val="24"/>
              </w:rPr>
              <w:t>工程环保投资明细</w:t>
            </w:r>
          </w:p>
          <w:p>
            <w:pPr>
              <w:adjustRightInd w:val="0"/>
              <w:snapToGrid w:val="0"/>
              <w:spacing w:line="460" w:lineRule="exact"/>
              <w:ind w:firstLine="480" w:firstLineChars="200"/>
              <w:jc w:val="left"/>
              <w:rPr>
                <w:color w:val="000000" w:themeColor="text1"/>
                <w:sz w:val="24"/>
              </w:rPr>
            </w:pPr>
            <w:r>
              <w:rPr>
                <w:rFonts w:hint="eastAsia"/>
                <w:bCs/>
                <w:color w:val="000000" w:themeColor="text1"/>
                <w:sz w:val="24"/>
                <w:szCs w:val="28"/>
              </w:rPr>
              <w:t>环评中</w:t>
            </w:r>
            <w:r>
              <w:rPr>
                <w:bCs/>
                <w:color w:val="000000" w:themeColor="text1"/>
                <w:sz w:val="24"/>
                <w:szCs w:val="28"/>
              </w:rPr>
              <w:t>环保投资</w:t>
            </w:r>
            <w:r>
              <w:rPr>
                <w:rFonts w:hint="eastAsia"/>
                <w:bCs/>
                <w:color w:val="000000" w:themeColor="text1"/>
                <w:sz w:val="24"/>
                <w:szCs w:val="28"/>
              </w:rPr>
              <w:t>为</w:t>
            </w:r>
            <w:r>
              <w:rPr>
                <w:bCs/>
                <w:color w:val="000000" w:themeColor="text1"/>
                <w:sz w:val="24"/>
                <w:szCs w:val="28"/>
              </w:rPr>
              <w:t>39万</w:t>
            </w:r>
            <w:r>
              <w:rPr>
                <w:rFonts w:hint="eastAsia"/>
                <w:bCs/>
                <w:color w:val="000000" w:themeColor="text1"/>
                <w:sz w:val="24"/>
                <w:szCs w:val="28"/>
              </w:rPr>
              <w:t>。</w:t>
            </w:r>
            <w:r>
              <w:rPr>
                <w:bCs/>
                <w:sz w:val="24"/>
                <w:szCs w:val="28"/>
              </w:rPr>
              <w:t>表</w:t>
            </w:r>
            <w:r>
              <w:rPr>
                <w:rFonts w:hint="eastAsia"/>
                <w:bCs/>
                <w:sz w:val="24"/>
                <w:szCs w:val="28"/>
              </w:rPr>
              <w:t>4-6</w:t>
            </w:r>
            <w:r>
              <w:rPr>
                <w:bCs/>
                <w:sz w:val="24"/>
                <w:szCs w:val="28"/>
              </w:rPr>
              <w:t>列出了实际环保投资与环评环保投资对比情况。</w:t>
            </w:r>
          </w:p>
          <w:p>
            <w:pPr>
              <w:spacing w:line="460" w:lineRule="exact"/>
              <w:jc w:val="center"/>
              <w:rPr>
                <w:sz w:val="24"/>
              </w:rPr>
            </w:pPr>
            <w:r>
              <w:rPr>
                <w:b/>
                <w:szCs w:val="21"/>
                <w:lang w:val="zh-CN"/>
              </w:rPr>
              <w:t>表</w:t>
            </w:r>
            <w:r>
              <w:rPr>
                <w:rFonts w:hint="eastAsia"/>
                <w:b/>
                <w:szCs w:val="21"/>
                <w:lang w:val="zh-CN"/>
              </w:rPr>
              <w:t>4-6</w:t>
            </w:r>
            <w:r>
              <w:rPr>
                <w:b/>
                <w:szCs w:val="21"/>
                <w:lang w:val="zh-CN"/>
              </w:rPr>
              <w:t>环评环保设施现状及投资情况</w:t>
            </w:r>
          </w:p>
          <w:tbl>
            <w:tblPr>
              <w:tblStyle w:val="32"/>
              <w:tblW w:w="91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6"/>
              <w:gridCol w:w="1153"/>
              <w:gridCol w:w="4676"/>
              <w:gridCol w:w="1274"/>
              <w:gridCol w:w="137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4" w:hRule="atLeast"/>
                <w:jc w:val="center"/>
              </w:trPr>
              <w:tc>
                <w:tcPr>
                  <w:tcW w:w="686" w:type="dxa"/>
                  <w:tcBorders>
                    <w:bottom w:val="single" w:color="auto" w:sz="4" w:space="0"/>
                    <w:right w:val="single" w:color="auto" w:sz="4" w:space="0"/>
                  </w:tcBorders>
                  <w:vAlign w:val="center"/>
                </w:tcPr>
                <w:p>
                  <w:pPr>
                    <w:pStyle w:val="89"/>
                    <w:rPr>
                      <w:rFonts w:cs="Times New Roman"/>
                    </w:rPr>
                  </w:pPr>
                  <w:r>
                    <w:rPr>
                      <w:rFonts w:cs="Times New Roman"/>
                    </w:rPr>
                    <w:t>类型</w:t>
                  </w:r>
                </w:p>
              </w:tc>
              <w:tc>
                <w:tcPr>
                  <w:tcW w:w="1153" w:type="dxa"/>
                  <w:vAlign w:val="center"/>
                </w:tcPr>
                <w:p>
                  <w:pPr>
                    <w:pStyle w:val="89"/>
                    <w:rPr>
                      <w:rFonts w:cs="Times New Roman"/>
                    </w:rPr>
                  </w:pPr>
                  <w:r>
                    <w:rPr>
                      <w:rFonts w:cs="Times New Roman"/>
                    </w:rPr>
                    <w:t>污染源</w:t>
                  </w:r>
                </w:p>
              </w:tc>
              <w:tc>
                <w:tcPr>
                  <w:tcW w:w="4676" w:type="dxa"/>
                  <w:vAlign w:val="center"/>
                </w:tcPr>
                <w:p>
                  <w:pPr>
                    <w:pStyle w:val="89"/>
                    <w:rPr>
                      <w:rFonts w:cs="Times New Roman"/>
                    </w:rPr>
                  </w:pPr>
                  <w:r>
                    <w:rPr>
                      <w:rFonts w:cs="Times New Roman"/>
                    </w:rPr>
                    <w:t>措施内容</w:t>
                  </w:r>
                </w:p>
              </w:tc>
              <w:tc>
                <w:tcPr>
                  <w:tcW w:w="1274" w:type="dxa"/>
                  <w:vAlign w:val="center"/>
                </w:tcPr>
                <w:p>
                  <w:pPr>
                    <w:pStyle w:val="89"/>
                    <w:rPr>
                      <w:rFonts w:cs="Times New Roman"/>
                    </w:rPr>
                  </w:pPr>
                  <w:r>
                    <w:rPr>
                      <w:rFonts w:hint="eastAsia" w:cs="Times New Roman"/>
                    </w:rPr>
                    <w:t>环评</w:t>
                  </w:r>
                  <w:r>
                    <w:rPr>
                      <w:rFonts w:cs="Times New Roman"/>
                    </w:rPr>
                    <w:t>投资</w:t>
                  </w:r>
                </w:p>
                <w:p>
                  <w:pPr>
                    <w:pStyle w:val="89"/>
                    <w:rPr>
                      <w:rFonts w:cs="Times New Roman"/>
                    </w:rPr>
                  </w:pPr>
                  <w:r>
                    <w:rPr>
                      <w:rFonts w:cs="Times New Roman"/>
                    </w:rPr>
                    <w:t>（万元）</w:t>
                  </w:r>
                </w:p>
              </w:tc>
              <w:tc>
                <w:tcPr>
                  <w:tcW w:w="1379" w:type="dxa"/>
                </w:tcPr>
                <w:p>
                  <w:pPr>
                    <w:pStyle w:val="89"/>
                    <w:rPr>
                      <w:rFonts w:cs="Times New Roman"/>
                      <w:color w:val="auto"/>
                    </w:rPr>
                  </w:pPr>
                  <w:r>
                    <w:rPr>
                      <w:rFonts w:cs="Times New Roman"/>
                      <w:color w:val="auto"/>
                    </w:rPr>
                    <w:t>实际投资</w:t>
                  </w:r>
                </w:p>
                <w:p>
                  <w:pPr>
                    <w:pStyle w:val="89"/>
                    <w:rPr>
                      <w:rFonts w:cs="Times New Roman"/>
                      <w:color w:val="auto"/>
                    </w:rPr>
                  </w:pPr>
                  <w:r>
                    <w:rPr>
                      <w:rFonts w:cs="Times New Roman"/>
                      <w:color w:val="auto"/>
                    </w:rPr>
                    <w:t>（万元）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686" w:type="dxa"/>
                  <w:vMerge w:val="restart"/>
                  <w:tcBorders>
                    <w:top w:val="single" w:color="auto" w:sz="4" w:space="0"/>
                    <w:right w:val="single" w:color="auto" w:sz="4" w:space="0"/>
                  </w:tcBorders>
                  <w:vAlign w:val="center"/>
                </w:tcPr>
                <w:p>
                  <w:pPr>
                    <w:pStyle w:val="89"/>
                    <w:rPr>
                      <w:rFonts w:cs="Times New Roman"/>
                    </w:rPr>
                  </w:pPr>
                  <w:r>
                    <w:rPr>
                      <w:rFonts w:cs="Times New Roman"/>
                    </w:rPr>
                    <w:t>施工期</w:t>
                  </w:r>
                </w:p>
              </w:tc>
              <w:tc>
                <w:tcPr>
                  <w:tcW w:w="1153" w:type="dxa"/>
                  <w:vAlign w:val="center"/>
                </w:tcPr>
                <w:p>
                  <w:pPr>
                    <w:pStyle w:val="89"/>
                    <w:rPr>
                      <w:rFonts w:cs="Times New Roman"/>
                    </w:rPr>
                  </w:pPr>
                  <w:r>
                    <w:rPr>
                      <w:rFonts w:cs="Times New Roman"/>
                    </w:rPr>
                    <w:t>施工扬尘</w:t>
                  </w:r>
                </w:p>
              </w:tc>
              <w:tc>
                <w:tcPr>
                  <w:tcW w:w="4676" w:type="dxa"/>
                  <w:vAlign w:val="center"/>
                </w:tcPr>
                <w:p>
                  <w:pPr>
                    <w:pStyle w:val="89"/>
                    <w:rPr>
                      <w:rFonts w:cs="Times New Roman"/>
                    </w:rPr>
                  </w:pPr>
                  <w:r>
                    <w:rPr>
                      <w:rFonts w:cs="Times New Roman"/>
                    </w:rPr>
                    <w:t>施工现场配备洒水车</w:t>
                  </w:r>
                </w:p>
              </w:tc>
              <w:tc>
                <w:tcPr>
                  <w:tcW w:w="1274" w:type="dxa"/>
                  <w:vAlign w:val="center"/>
                </w:tcPr>
                <w:p>
                  <w:pPr>
                    <w:pStyle w:val="89"/>
                    <w:rPr>
                      <w:rFonts w:cs="Times New Roman"/>
                    </w:rPr>
                  </w:pPr>
                  <w:r>
                    <w:rPr>
                      <w:rFonts w:cs="Times New Roman"/>
                    </w:rPr>
                    <w:t>1</w:t>
                  </w:r>
                </w:p>
              </w:tc>
              <w:tc>
                <w:tcPr>
                  <w:tcW w:w="1379" w:type="dxa"/>
                  <w:vAlign w:val="center"/>
                </w:tcPr>
                <w:p>
                  <w:pPr>
                    <w:pStyle w:val="89"/>
                    <w:rPr>
                      <w:rFonts w:hint="eastAsia" w:eastAsia="宋体" w:cs="Times New Roman"/>
                      <w:color w:val="auto"/>
                      <w:lang w:eastAsia="zh-CN"/>
                    </w:rPr>
                  </w:pPr>
                  <w:r>
                    <w:rPr>
                      <w:rFonts w:hint="eastAsia" w:cs="Times New Roman"/>
                      <w:color w:val="auto"/>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686" w:type="dxa"/>
                  <w:vMerge w:val="continue"/>
                  <w:tcBorders>
                    <w:right w:val="single" w:color="auto" w:sz="4" w:space="0"/>
                  </w:tcBorders>
                  <w:vAlign w:val="center"/>
                </w:tcPr>
                <w:p>
                  <w:pPr>
                    <w:pStyle w:val="89"/>
                    <w:rPr>
                      <w:rFonts w:cs="Times New Roman"/>
                    </w:rPr>
                  </w:pPr>
                </w:p>
              </w:tc>
              <w:tc>
                <w:tcPr>
                  <w:tcW w:w="1153" w:type="dxa"/>
                  <w:vAlign w:val="center"/>
                </w:tcPr>
                <w:p>
                  <w:pPr>
                    <w:pStyle w:val="89"/>
                    <w:rPr>
                      <w:rFonts w:cs="Times New Roman"/>
                    </w:rPr>
                  </w:pPr>
                  <w:r>
                    <w:rPr>
                      <w:rFonts w:cs="Times New Roman"/>
                    </w:rPr>
                    <w:t>施工固废</w:t>
                  </w:r>
                </w:p>
              </w:tc>
              <w:tc>
                <w:tcPr>
                  <w:tcW w:w="4676" w:type="dxa"/>
                  <w:vAlign w:val="center"/>
                </w:tcPr>
                <w:p>
                  <w:pPr>
                    <w:pStyle w:val="89"/>
                    <w:rPr>
                      <w:rFonts w:cs="Times New Roman"/>
                    </w:rPr>
                  </w:pPr>
                  <w:r>
                    <w:rPr>
                      <w:rFonts w:cs="Times New Roman"/>
                    </w:rPr>
                    <w:t>单位长度（m）会产生多余的土方量为0.43m3，多余弃土在管道两侧各3.5m的范围内进行消化；弃渣以及清管粉尘送至建筑垃圾填埋场；施工废料（废焊条、废防腐材料等）统一收集外售</w:t>
                  </w:r>
                </w:p>
              </w:tc>
              <w:tc>
                <w:tcPr>
                  <w:tcW w:w="1274" w:type="dxa"/>
                  <w:vAlign w:val="center"/>
                </w:tcPr>
                <w:p>
                  <w:pPr>
                    <w:pStyle w:val="89"/>
                    <w:rPr>
                      <w:rFonts w:cs="Times New Roman"/>
                    </w:rPr>
                  </w:pPr>
                  <w:r>
                    <w:rPr>
                      <w:rFonts w:cs="Times New Roman"/>
                    </w:rPr>
                    <w:t>8</w:t>
                  </w:r>
                </w:p>
              </w:tc>
              <w:tc>
                <w:tcPr>
                  <w:tcW w:w="1379" w:type="dxa"/>
                  <w:vAlign w:val="center"/>
                </w:tcPr>
                <w:p>
                  <w:pPr>
                    <w:pStyle w:val="89"/>
                    <w:rPr>
                      <w:rFonts w:hint="eastAsia" w:eastAsia="宋体" w:cs="Times New Roman"/>
                      <w:color w:val="auto"/>
                      <w:lang w:eastAsia="zh-CN"/>
                    </w:rPr>
                  </w:pPr>
                  <w:r>
                    <w:rPr>
                      <w:rFonts w:hint="eastAsia" w:cs="Times New Roman"/>
                      <w:color w:val="auto"/>
                      <w:lang w:val="en-US" w:eastAsia="zh-CN"/>
                    </w:rP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686" w:type="dxa"/>
                  <w:vMerge w:val="continue"/>
                  <w:tcBorders>
                    <w:right w:val="single" w:color="auto" w:sz="4" w:space="0"/>
                  </w:tcBorders>
                  <w:vAlign w:val="center"/>
                </w:tcPr>
                <w:p>
                  <w:pPr>
                    <w:pStyle w:val="89"/>
                    <w:rPr>
                      <w:rFonts w:cs="Times New Roman"/>
                    </w:rPr>
                  </w:pPr>
                </w:p>
              </w:tc>
              <w:tc>
                <w:tcPr>
                  <w:tcW w:w="1153" w:type="dxa"/>
                  <w:vAlign w:val="center"/>
                </w:tcPr>
                <w:p>
                  <w:pPr>
                    <w:pStyle w:val="89"/>
                    <w:rPr>
                      <w:rFonts w:cs="Times New Roman"/>
                    </w:rPr>
                  </w:pPr>
                  <w:r>
                    <w:rPr>
                      <w:rFonts w:cs="Times New Roman"/>
                    </w:rPr>
                    <w:t>沿线生态补偿</w:t>
                  </w:r>
                </w:p>
              </w:tc>
              <w:tc>
                <w:tcPr>
                  <w:tcW w:w="4676" w:type="dxa"/>
                  <w:vAlign w:val="center"/>
                </w:tcPr>
                <w:p>
                  <w:pPr>
                    <w:pStyle w:val="89"/>
                    <w:rPr>
                      <w:rFonts w:cs="Times New Roman"/>
                    </w:rPr>
                  </w:pPr>
                  <w:r>
                    <w:rPr>
                      <w:rFonts w:cs="Times New Roman"/>
                    </w:rPr>
                    <w:t>项目施工完后对临时占地全部进行生态恢复</w:t>
                  </w:r>
                </w:p>
              </w:tc>
              <w:tc>
                <w:tcPr>
                  <w:tcW w:w="1274" w:type="dxa"/>
                  <w:vAlign w:val="center"/>
                </w:tcPr>
                <w:p>
                  <w:pPr>
                    <w:pStyle w:val="89"/>
                    <w:rPr>
                      <w:rFonts w:cs="Times New Roman"/>
                    </w:rPr>
                  </w:pPr>
                  <w:r>
                    <w:rPr>
                      <w:rFonts w:cs="Times New Roman"/>
                    </w:rPr>
                    <w:t>30</w:t>
                  </w:r>
                </w:p>
              </w:tc>
              <w:tc>
                <w:tcPr>
                  <w:tcW w:w="1379" w:type="dxa"/>
                  <w:vAlign w:val="center"/>
                </w:tcPr>
                <w:p>
                  <w:pPr>
                    <w:pStyle w:val="89"/>
                    <w:rPr>
                      <w:rFonts w:hint="eastAsia" w:eastAsia="宋体" w:cs="Times New Roman"/>
                      <w:color w:val="auto"/>
                      <w:lang w:eastAsia="zh-CN"/>
                    </w:rPr>
                  </w:pPr>
                  <w:r>
                    <w:rPr>
                      <w:rFonts w:hint="eastAsia" w:cs="Times New Roman"/>
                      <w:color w:val="auto"/>
                    </w:rPr>
                    <w:t>3</w:t>
                  </w:r>
                  <w:r>
                    <w:rPr>
                      <w:rFonts w:hint="eastAsia" w:cs="Times New Roman"/>
                      <w:color w:val="auto"/>
                      <w:lang w:val="en-US" w:eastAsia="zh-CN"/>
                    </w:rPr>
                    <w:t>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686" w:type="dxa"/>
                  <w:tcBorders>
                    <w:top w:val="single" w:color="auto" w:sz="4" w:space="0"/>
                    <w:right w:val="single" w:color="auto" w:sz="4" w:space="0"/>
                  </w:tcBorders>
                  <w:vAlign w:val="center"/>
                </w:tcPr>
                <w:p>
                  <w:pPr>
                    <w:pStyle w:val="89"/>
                    <w:rPr>
                      <w:rFonts w:cs="Times New Roman"/>
                    </w:rPr>
                  </w:pPr>
                  <w:r>
                    <w:rPr>
                      <w:rFonts w:cs="Times New Roman"/>
                    </w:rPr>
                    <w:t>运营期</w:t>
                  </w:r>
                </w:p>
              </w:tc>
              <w:tc>
                <w:tcPr>
                  <w:tcW w:w="1153" w:type="dxa"/>
                  <w:vAlign w:val="center"/>
                </w:tcPr>
                <w:p>
                  <w:pPr>
                    <w:pStyle w:val="89"/>
                    <w:rPr>
                      <w:rFonts w:cs="Times New Roman"/>
                    </w:rPr>
                  </w:pPr>
                  <w:r>
                    <w:rPr>
                      <w:rFonts w:cs="Times New Roman"/>
                    </w:rPr>
                    <w:t>站场内调压计</w:t>
                  </w:r>
                </w:p>
              </w:tc>
              <w:tc>
                <w:tcPr>
                  <w:tcW w:w="4676" w:type="dxa"/>
                  <w:vAlign w:val="center"/>
                </w:tcPr>
                <w:p>
                  <w:pPr>
                    <w:pStyle w:val="89"/>
                    <w:rPr>
                      <w:rFonts w:cs="Times New Roman"/>
                    </w:rPr>
                  </w:pPr>
                  <w:r>
                    <w:rPr>
                      <w:rFonts w:hint="eastAsia" w:cs="Times New Roman"/>
                    </w:rPr>
                    <w:t>选用低噪声设备</w:t>
                  </w:r>
                </w:p>
              </w:tc>
              <w:tc>
                <w:tcPr>
                  <w:tcW w:w="1274" w:type="dxa"/>
                  <w:shd w:val="clear" w:color="auto" w:fill="auto"/>
                  <w:vAlign w:val="center"/>
                </w:tcPr>
                <w:p>
                  <w:pPr>
                    <w:pStyle w:val="89"/>
                    <w:rPr>
                      <w:rFonts w:cs="Times New Roman"/>
                    </w:rPr>
                  </w:pPr>
                  <w:r>
                    <w:rPr>
                      <w:rFonts w:cs="Times New Roman"/>
                    </w:rPr>
                    <w:t>/</w:t>
                  </w:r>
                </w:p>
              </w:tc>
              <w:tc>
                <w:tcPr>
                  <w:tcW w:w="1379" w:type="dxa"/>
                  <w:vAlign w:val="center"/>
                </w:tcPr>
                <w:p>
                  <w:pPr>
                    <w:pStyle w:val="89"/>
                    <w:rPr>
                      <w:rFonts w:cs="Times New Roman"/>
                      <w:color w:val="auto"/>
                    </w:rPr>
                  </w:pPr>
                  <w:r>
                    <w:rPr>
                      <w:rFonts w:hint="eastAsia" w:cs="Times New Roman"/>
                      <w:color w:val="auto"/>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6515" w:type="dxa"/>
                  <w:gridSpan w:val="3"/>
                  <w:vAlign w:val="center"/>
                </w:tcPr>
                <w:p>
                  <w:pPr>
                    <w:pStyle w:val="89"/>
                    <w:rPr>
                      <w:rFonts w:cs="Times New Roman"/>
                    </w:rPr>
                  </w:pPr>
                  <w:r>
                    <w:rPr>
                      <w:rFonts w:cs="Times New Roman"/>
                    </w:rPr>
                    <w:t>环保投资合计</w:t>
                  </w:r>
                </w:p>
              </w:tc>
              <w:tc>
                <w:tcPr>
                  <w:tcW w:w="1274" w:type="dxa"/>
                  <w:tcBorders>
                    <w:top w:val="single" w:color="auto" w:sz="4" w:space="0"/>
                  </w:tcBorders>
                  <w:vAlign w:val="center"/>
                </w:tcPr>
                <w:p>
                  <w:pPr>
                    <w:pStyle w:val="89"/>
                    <w:rPr>
                      <w:rFonts w:cs="Times New Roman"/>
                    </w:rPr>
                  </w:pPr>
                  <w:r>
                    <w:rPr>
                      <w:rFonts w:cs="Times New Roman"/>
                    </w:rPr>
                    <w:t>39</w:t>
                  </w:r>
                </w:p>
              </w:tc>
              <w:tc>
                <w:tcPr>
                  <w:tcW w:w="1379" w:type="dxa"/>
                  <w:tcBorders>
                    <w:top w:val="single" w:color="auto" w:sz="4" w:space="0"/>
                  </w:tcBorders>
                  <w:vAlign w:val="center"/>
                </w:tcPr>
                <w:p>
                  <w:pPr>
                    <w:pStyle w:val="89"/>
                    <w:rPr>
                      <w:rFonts w:hint="eastAsia" w:eastAsia="宋体" w:cs="Times New Roman"/>
                      <w:color w:val="auto"/>
                      <w:lang w:val="en-US" w:eastAsia="zh-CN"/>
                    </w:rPr>
                  </w:pPr>
                  <w:r>
                    <w:rPr>
                      <w:rFonts w:hint="eastAsia" w:cs="Times New Roman"/>
                      <w:color w:val="auto"/>
                      <w:lang w:val="en-US" w:eastAsia="zh-CN"/>
                    </w:rPr>
                    <w:t>42</w:t>
                  </w:r>
                </w:p>
              </w:tc>
            </w:tr>
          </w:tbl>
          <w:p>
            <w:pPr>
              <w:autoSpaceDE w:val="0"/>
              <w:autoSpaceDN w:val="0"/>
              <w:adjustRightInd w:val="0"/>
              <w:spacing w:line="460" w:lineRule="exact"/>
              <w:ind w:firstLine="480" w:firstLineChars="200"/>
              <w:rPr>
                <w:bCs/>
                <w:sz w:val="24"/>
              </w:rPr>
            </w:pPr>
            <w:r>
              <w:rPr>
                <w:bCs/>
                <w:sz w:val="24"/>
              </w:rPr>
              <w:t>本项目</w:t>
            </w:r>
            <w:r>
              <w:rPr>
                <w:rFonts w:hint="eastAsia"/>
                <w:bCs/>
                <w:sz w:val="24"/>
              </w:rPr>
              <w:t>实际</w:t>
            </w:r>
            <w:r>
              <w:rPr>
                <w:bCs/>
                <w:sz w:val="24"/>
              </w:rPr>
              <w:t>总投资为</w:t>
            </w:r>
            <w:r>
              <w:rPr>
                <w:rFonts w:hint="eastAsia"/>
                <w:color w:val="auto"/>
                <w:sz w:val="24"/>
                <w:lang w:val="en-US" w:eastAsia="zh-CN"/>
              </w:rPr>
              <w:t>2197.5</w:t>
            </w:r>
            <w:r>
              <w:rPr>
                <w:bCs/>
                <w:sz w:val="24"/>
              </w:rPr>
              <w:t>万元</w:t>
            </w:r>
            <w:r>
              <w:rPr>
                <w:rFonts w:hint="eastAsia"/>
                <w:bCs/>
                <w:sz w:val="24"/>
              </w:rPr>
              <w:t>，</w:t>
            </w:r>
            <w:r>
              <w:rPr>
                <w:bCs/>
                <w:sz w:val="24"/>
              </w:rPr>
              <w:t>其中实际环保投资共计约</w:t>
            </w:r>
            <w:r>
              <w:rPr>
                <w:rFonts w:hint="eastAsia"/>
                <w:bCs/>
                <w:color w:val="auto"/>
                <w:sz w:val="24"/>
                <w:lang w:val="en-US" w:eastAsia="zh-CN"/>
              </w:rPr>
              <w:t>42</w:t>
            </w:r>
            <w:r>
              <w:rPr>
                <w:bCs/>
                <w:sz w:val="24"/>
              </w:rPr>
              <w:t>万元</w:t>
            </w:r>
            <w:r>
              <w:rPr>
                <w:rFonts w:hint="eastAsia"/>
                <w:bCs/>
                <w:sz w:val="24"/>
              </w:rPr>
              <w:t>，</w:t>
            </w:r>
            <w:r>
              <w:rPr>
                <w:bCs/>
                <w:sz w:val="24"/>
              </w:rPr>
              <w:t>主要用于沿线生态补偿</w:t>
            </w:r>
            <w:r>
              <w:rPr>
                <w:rFonts w:hint="eastAsia"/>
                <w:bCs/>
                <w:sz w:val="24"/>
              </w:rPr>
              <w:t>包括植被</w:t>
            </w:r>
            <w:r>
              <w:rPr>
                <w:bCs/>
                <w:sz w:val="24"/>
              </w:rPr>
              <w:t>恢复，</w:t>
            </w:r>
            <w:r>
              <w:rPr>
                <w:rFonts w:hint="eastAsia"/>
                <w:bCs/>
                <w:sz w:val="24"/>
              </w:rPr>
              <w:t>耕地</w:t>
            </w:r>
            <w:r>
              <w:rPr>
                <w:bCs/>
                <w:sz w:val="24"/>
              </w:rPr>
              <w:t>和林地占用补偿以及水工保护等工程。</w:t>
            </w:r>
          </w:p>
          <w:p>
            <w:pPr>
              <w:autoSpaceDE w:val="0"/>
              <w:autoSpaceDN w:val="0"/>
              <w:adjustRightInd w:val="0"/>
              <w:spacing w:line="460" w:lineRule="exact"/>
              <w:ind w:firstLine="480" w:firstLineChars="200"/>
              <w:rPr>
                <w:bCs/>
                <w:sz w:val="24"/>
              </w:rPr>
            </w:pPr>
            <w:r>
              <w:rPr>
                <w:bCs/>
                <w:sz w:val="24"/>
              </w:rPr>
              <w:t>建设单位未委托第三方进行施工期环境监理。</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9400" w:type="dxa"/>
            <w:gridSpan w:val="2"/>
            <w:tcBorders>
              <w:top w:val="single" w:color="auto" w:sz="4" w:space="0"/>
              <w:bottom w:val="single" w:color="auto" w:sz="4" w:space="0"/>
            </w:tcBorders>
            <w:vAlign w:val="center"/>
          </w:tcPr>
          <w:p>
            <w:pPr>
              <w:pStyle w:val="43"/>
              <w:spacing w:line="460" w:lineRule="exact"/>
              <w:ind w:firstLine="0" w:firstLineChars="0"/>
              <w:rPr>
                <w:b/>
                <w:sz w:val="24"/>
                <w:szCs w:val="24"/>
              </w:rPr>
            </w:pPr>
            <w:r>
              <w:rPr>
                <w:b/>
                <w:sz w:val="24"/>
                <w:szCs w:val="24"/>
              </w:rPr>
              <w:t>实际工程量及工程建设变化情况，说明工程变化原因</w:t>
            </w:r>
          </w:p>
          <w:p>
            <w:pPr>
              <w:spacing w:line="460" w:lineRule="exact"/>
              <w:ind w:firstLine="480" w:firstLineChars="200"/>
              <w:rPr>
                <w:sz w:val="24"/>
              </w:rPr>
            </w:pPr>
            <w:r>
              <w:rPr>
                <w:sz w:val="24"/>
              </w:rPr>
              <w:t>根据现场调查，本项目工程变</w:t>
            </w:r>
            <w:r>
              <w:rPr>
                <w:rFonts w:hint="eastAsia"/>
                <w:sz w:val="24"/>
                <w:lang w:val="en-US" w:eastAsia="zh-CN"/>
              </w:rPr>
              <w:t>动</w:t>
            </w:r>
            <w:r>
              <w:rPr>
                <w:sz w:val="24"/>
              </w:rPr>
              <w:t>情况如下：</w:t>
            </w:r>
          </w:p>
          <w:p>
            <w:pPr>
              <w:spacing w:line="460" w:lineRule="exact"/>
              <w:ind w:firstLine="432" w:firstLineChars="180"/>
              <w:rPr>
                <w:sz w:val="24"/>
              </w:rPr>
            </w:pPr>
            <w:r>
              <w:rPr>
                <w:sz w:val="24"/>
              </w:rPr>
              <w:t>（1）</w:t>
            </w:r>
            <w:r>
              <w:rPr>
                <w:rFonts w:hint="eastAsia"/>
                <w:sz w:val="24"/>
              </w:rPr>
              <w:t>花园村东北-五保高速</w:t>
            </w:r>
            <w:r>
              <w:rPr>
                <w:sz w:val="24"/>
              </w:rPr>
              <w:t>段</w:t>
            </w:r>
            <w:r>
              <w:rPr>
                <w:rFonts w:hint="eastAsia"/>
                <w:sz w:val="24"/>
              </w:rPr>
              <w:t>管线</w:t>
            </w:r>
            <w:r>
              <w:rPr>
                <w:sz w:val="24"/>
              </w:rPr>
              <w:t>路由有变化，</w:t>
            </w:r>
            <w:r>
              <w:rPr>
                <w:rFonts w:hint="eastAsia"/>
                <w:sz w:val="24"/>
              </w:rPr>
              <w:t>该段</w:t>
            </w:r>
            <w:r>
              <w:rPr>
                <w:sz w:val="24"/>
              </w:rPr>
              <w:t>线路</w:t>
            </w:r>
            <w:r>
              <w:rPr>
                <w:rFonts w:hint="eastAsia"/>
                <w:sz w:val="24"/>
              </w:rPr>
              <w:t>设计</w:t>
            </w:r>
            <w:r>
              <w:rPr>
                <w:sz w:val="24"/>
              </w:rPr>
              <w:t>水平长度</w:t>
            </w:r>
            <w:r>
              <w:rPr>
                <w:rFonts w:hint="eastAsia"/>
                <w:sz w:val="24"/>
              </w:rPr>
              <w:t>约1.63km，实际</w:t>
            </w:r>
            <w:r>
              <w:rPr>
                <w:sz w:val="24"/>
              </w:rPr>
              <w:t>水平长度约</w:t>
            </w:r>
            <w:r>
              <w:rPr>
                <w:rFonts w:hint="eastAsia"/>
                <w:sz w:val="24"/>
              </w:rPr>
              <w:t>1.8</w:t>
            </w:r>
            <w:r>
              <w:rPr>
                <w:sz w:val="24"/>
              </w:rPr>
              <w:t>km</w:t>
            </w:r>
            <w:r>
              <w:rPr>
                <w:rFonts w:hint="eastAsia"/>
                <w:sz w:val="24"/>
              </w:rPr>
              <w:t>，</w:t>
            </w:r>
            <w:r>
              <w:rPr>
                <w:sz w:val="24"/>
              </w:rPr>
              <w:t>最大</w:t>
            </w:r>
            <w:r>
              <w:rPr>
                <w:rFonts w:hint="eastAsia"/>
                <w:sz w:val="24"/>
              </w:rPr>
              <w:t>水平</w:t>
            </w:r>
            <w:r>
              <w:rPr>
                <w:sz w:val="24"/>
              </w:rPr>
              <w:t>位移长度</w:t>
            </w:r>
            <w:r>
              <w:rPr>
                <w:rFonts w:hint="eastAsia"/>
                <w:sz w:val="24"/>
              </w:rPr>
              <w:t>0.59k</w:t>
            </w:r>
            <w:r>
              <w:rPr>
                <w:sz w:val="24"/>
              </w:rPr>
              <w:t>m</w:t>
            </w:r>
            <w:r>
              <w:rPr>
                <w:rFonts w:hint="eastAsia"/>
                <w:sz w:val="24"/>
              </w:rPr>
              <w:t>。</w:t>
            </w:r>
          </w:p>
          <w:p>
            <w:pPr>
              <w:spacing w:line="460" w:lineRule="exact"/>
              <w:ind w:firstLine="432" w:firstLineChars="180"/>
              <w:rPr>
                <w:sz w:val="24"/>
              </w:rPr>
            </w:pPr>
            <w:r>
              <w:rPr>
                <w:sz w:val="24"/>
              </w:rPr>
              <w:t>（2）</w:t>
            </w:r>
            <w:r>
              <w:rPr>
                <w:rFonts w:hint="eastAsia"/>
                <w:sz w:val="24"/>
              </w:rPr>
              <w:t>朱家川河、五保高速匝道穿越位置发生变动。</w:t>
            </w:r>
          </w:p>
          <w:p>
            <w:pPr>
              <w:spacing w:line="460" w:lineRule="exact"/>
              <w:ind w:firstLine="432" w:firstLineChars="180"/>
              <w:rPr>
                <w:sz w:val="24"/>
              </w:rPr>
            </w:pPr>
            <w:r>
              <w:rPr>
                <w:rFonts w:hint="eastAsia"/>
                <w:sz w:val="24"/>
              </w:rPr>
              <w:t>环评中朱家川河穿越位置位于前会村南</w:t>
            </w:r>
            <w:r>
              <w:rPr>
                <w:rFonts w:hint="eastAsia"/>
                <w:sz w:val="24"/>
                <w:lang w:val="en-US" w:eastAsia="zh-CN"/>
              </w:rPr>
              <w:t>280</w:t>
            </w:r>
            <w:r>
              <w:rPr>
                <w:sz w:val="24"/>
              </w:rPr>
              <w:t>m</w:t>
            </w:r>
            <w:r>
              <w:rPr>
                <w:rFonts w:hint="eastAsia"/>
                <w:sz w:val="24"/>
              </w:rPr>
              <w:t>，穿越长度107m</w:t>
            </w:r>
            <w:r>
              <w:rPr>
                <w:rFonts w:hint="eastAsia"/>
                <w:sz w:val="24"/>
                <w:lang w:eastAsia="zh-CN"/>
              </w:rPr>
              <w:t>。</w:t>
            </w:r>
            <w:r>
              <w:rPr>
                <w:rFonts w:hint="eastAsia"/>
                <w:sz w:val="24"/>
              </w:rPr>
              <w:t>实际穿越位置位于前会村南</w:t>
            </w:r>
            <w:r>
              <w:rPr>
                <w:rFonts w:hint="eastAsia"/>
                <w:sz w:val="24"/>
                <w:lang w:val="en-US" w:eastAsia="zh-CN"/>
              </w:rPr>
              <w:t>380</w:t>
            </w:r>
            <w:r>
              <w:rPr>
                <w:rFonts w:hint="eastAsia"/>
                <w:sz w:val="24"/>
              </w:rPr>
              <w:t>m，穿越长度90m。</w:t>
            </w:r>
          </w:p>
          <w:p>
            <w:pPr>
              <w:spacing w:line="460" w:lineRule="exact"/>
              <w:ind w:firstLine="432" w:firstLineChars="180"/>
              <w:rPr>
                <w:rFonts w:hint="eastAsia" w:eastAsia="宋体"/>
                <w:sz w:val="24"/>
                <w:lang w:eastAsia="zh-CN"/>
              </w:rPr>
            </w:pPr>
            <w:r>
              <w:rPr>
                <w:rFonts w:hint="eastAsia"/>
                <w:sz w:val="24"/>
              </w:rPr>
              <w:t>环评中</w:t>
            </w:r>
            <w:r>
              <w:rPr>
                <w:rFonts w:hint="eastAsia"/>
                <w:sz w:val="24"/>
                <w:lang w:val="en-US" w:eastAsia="zh-CN"/>
              </w:rPr>
              <w:t>穿越</w:t>
            </w:r>
            <w:r>
              <w:rPr>
                <w:rFonts w:hint="eastAsia"/>
                <w:sz w:val="24"/>
              </w:rPr>
              <w:t>五保高速匝道</w:t>
            </w:r>
            <w:r>
              <w:rPr>
                <w:rFonts w:hint="eastAsia"/>
                <w:sz w:val="24"/>
                <w:lang w:val="en-US" w:eastAsia="zh-CN"/>
              </w:rPr>
              <w:t>2次，</w:t>
            </w:r>
            <w:r>
              <w:rPr>
                <w:rFonts w:hint="eastAsia"/>
                <w:sz w:val="24"/>
              </w:rPr>
              <w:t>穿越位置位于前会村南</w:t>
            </w:r>
            <w:r>
              <w:rPr>
                <w:rFonts w:hint="eastAsia"/>
                <w:sz w:val="24"/>
                <w:lang w:val="en-US" w:eastAsia="zh-CN"/>
              </w:rPr>
              <w:t>330</w:t>
            </w:r>
            <w:r>
              <w:rPr>
                <w:sz w:val="24"/>
              </w:rPr>
              <w:t>m</w:t>
            </w:r>
            <w:r>
              <w:rPr>
                <w:rFonts w:hint="eastAsia"/>
                <w:sz w:val="24"/>
                <w:lang w:eastAsia="zh-CN"/>
              </w:rPr>
              <w:t>。</w:t>
            </w:r>
            <w:r>
              <w:rPr>
                <w:rFonts w:hint="eastAsia"/>
                <w:sz w:val="24"/>
              </w:rPr>
              <w:t>实际</w:t>
            </w:r>
            <w:r>
              <w:rPr>
                <w:rFonts w:hint="eastAsia"/>
                <w:sz w:val="24"/>
                <w:lang w:val="en-US" w:eastAsia="zh-CN"/>
              </w:rPr>
              <w:t>穿越</w:t>
            </w:r>
            <w:r>
              <w:rPr>
                <w:rFonts w:hint="eastAsia"/>
                <w:sz w:val="24"/>
              </w:rPr>
              <w:t>五保高速匝道</w:t>
            </w:r>
            <w:r>
              <w:rPr>
                <w:rFonts w:hint="eastAsia"/>
                <w:sz w:val="24"/>
                <w:lang w:val="en-US" w:eastAsia="zh-CN"/>
              </w:rPr>
              <w:t>2次：在</w:t>
            </w:r>
            <w:r>
              <w:rPr>
                <w:rFonts w:hint="eastAsia"/>
                <w:sz w:val="24"/>
              </w:rPr>
              <w:t>前会村西南320m穿越五保高速匝道1次，穿越长度约18m</w:t>
            </w:r>
            <w:r>
              <w:rPr>
                <w:rFonts w:hint="eastAsia"/>
                <w:sz w:val="24"/>
                <w:lang w:eastAsia="zh-CN"/>
              </w:rPr>
              <w:t>，</w:t>
            </w:r>
            <w:r>
              <w:rPr>
                <w:rFonts w:hint="eastAsia"/>
                <w:sz w:val="24"/>
                <w:lang w:val="en-US" w:eastAsia="zh-CN"/>
              </w:rPr>
              <w:t>在</w:t>
            </w:r>
            <w:r>
              <w:rPr>
                <w:rFonts w:hint="eastAsia"/>
                <w:sz w:val="24"/>
              </w:rPr>
              <w:t>前会村西南250m穿越五保高速</w:t>
            </w:r>
            <w:r>
              <w:rPr>
                <w:rFonts w:hint="eastAsia"/>
                <w:sz w:val="24"/>
                <w:lang w:val="en-US" w:eastAsia="zh-CN"/>
              </w:rPr>
              <w:t>匝道1</w:t>
            </w:r>
            <w:r>
              <w:rPr>
                <w:rFonts w:hint="eastAsia"/>
                <w:sz w:val="24"/>
              </w:rPr>
              <w:t>次，穿越长度约75m</w:t>
            </w:r>
            <w:r>
              <w:rPr>
                <w:rFonts w:hint="eastAsia"/>
                <w:sz w:val="24"/>
                <w:lang w:eastAsia="zh-CN"/>
              </w:rPr>
              <w:t>。</w:t>
            </w:r>
          </w:p>
          <w:p>
            <w:pPr>
              <w:spacing w:line="460" w:lineRule="exact"/>
              <w:ind w:firstLine="480"/>
              <w:rPr>
                <w:bCs/>
                <w:sz w:val="24"/>
              </w:rPr>
            </w:pPr>
            <w:r>
              <w:rPr>
                <w:sz w:val="24"/>
              </w:rPr>
              <w:t>环评与实际管线路由对比图见附图3，</w:t>
            </w:r>
            <w:r>
              <w:rPr>
                <w:bCs/>
                <w:sz w:val="24"/>
              </w:rPr>
              <w:t>改线段管线路由对比图见附图4。</w:t>
            </w:r>
          </w:p>
          <w:p>
            <w:pPr>
              <w:widowControl/>
              <w:spacing w:line="360" w:lineRule="auto"/>
              <w:ind w:firstLine="480" w:firstLineChars="200"/>
              <w:rPr>
                <w:rFonts w:hint="default" w:ascii="Times New Roman" w:hAnsi="Times New Roman" w:cs="Times New Roman" w:eastAsiaTheme="minorEastAsia"/>
                <w:color w:val="FF0000"/>
                <w:sz w:val="24"/>
              </w:rPr>
            </w:pPr>
            <w:r>
              <w:rPr>
                <w:rFonts w:hint="default" w:ascii="Times New Roman" w:hAnsi="Times New Roman" w:cs="Times New Roman" w:eastAsiaTheme="minorEastAsia"/>
                <w:color w:val="auto"/>
                <w:sz w:val="24"/>
              </w:rPr>
              <w:t>结合项目建设完成情况，依据《关于印发环评管理中部分行业建设项目重大变动清单的通知》（环办[2015]52号）中的相关规定，本项目</w:t>
            </w:r>
            <w:r>
              <w:rPr>
                <w:rFonts w:hint="eastAsia" w:ascii="Times New Roman" w:hAnsi="Times New Roman" w:cs="Times New Roman" w:eastAsiaTheme="minorEastAsia"/>
                <w:color w:val="auto"/>
                <w:sz w:val="24"/>
                <w:lang w:val="en-US" w:eastAsia="zh-CN"/>
              </w:rPr>
              <w:t>线路或伴行道路增加长度未达到原线路总长度的30%，</w:t>
            </w:r>
            <w:r>
              <w:rPr>
                <w:rFonts w:hint="default" w:ascii="Times New Roman" w:hAnsi="Times New Roman" w:cs="Times New Roman" w:eastAsiaTheme="minorEastAsia"/>
                <w:color w:val="auto"/>
                <w:sz w:val="24"/>
              </w:rPr>
              <w:t>不</w:t>
            </w:r>
            <w:r>
              <w:rPr>
                <w:rFonts w:hint="eastAsia" w:ascii="Times New Roman" w:hAnsi="Times New Roman" w:cs="Times New Roman" w:eastAsiaTheme="minorEastAsia"/>
                <w:color w:val="auto"/>
                <w:sz w:val="24"/>
                <w:lang w:val="en-US" w:eastAsia="zh-CN"/>
              </w:rPr>
              <w:t>属于</w:t>
            </w:r>
            <w:r>
              <w:rPr>
                <w:rFonts w:hint="default" w:ascii="Times New Roman" w:hAnsi="Times New Roman" w:cs="Times New Roman" w:eastAsiaTheme="minorEastAsia"/>
                <w:color w:val="auto"/>
                <w:sz w:val="24"/>
              </w:rPr>
              <w:t>重大变</w:t>
            </w:r>
            <w:r>
              <w:rPr>
                <w:rFonts w:hint="eastAsia" w:ascii="Times New Roman" w:hAnsi="Times New Roman" w:cs="Times New Roman" w:eastAsiaTheme="minorEastAsia"/>
                <w:color w:val="auto"/>
                <w:sz w:val="24"/>
                <w:lang w:val="en-US" w:eastAsia="zh-CN"/>
              </w:rPr>
              <w:t>动</w:t>
            </w:r>
            <w:r>
              <w:rPr>
                <w:rFonts w:hint="default" w:ascii="Times New Roman" w:hAnsi="Times New Roman" w:cs="Times New Roman" w:eastAsiaTheme="minorEastAsia"/>
                <w:color w:val="auto"/>
                <w:sz w:val="24"/>
              </w:rPr>
              <w:t>。</w:t>
            </w:r>
          </w:p>
          <w:p>
            <w:pPr>
              <w:spacing w:line="460" w:lineRule="exact"/>
              <w:rPr>
                <w:rFonts w:hint="eastAsia"/>
                <w:sz w:val="24"/>
              </w:rPr>
            </w:pPr>
            <w:r>
              <w:rPr>
                <w:rFonts w:hint="eastAsia"/>
                <w:sz w:val="24"/>
              </w:rPr>
              <w:t>。</w:t>
            </w:r>
          </w:p>
          <w:p>
            <w:pPr>
              <w:spacing w:line="460" w:lineRule="exact"/>
              <w:ind w:firstLine="480"/>
              <w:rPr>
                <w:bCs/>
                <w:sz w:val="24"/>
              </w:rPr>
            </w:pPr>
          </w:p>
          <w:p>
            <w:pPr>
              <w:spacing w:line="460" w:lineRule="exact"/>
              <w:ind w:firstLine="480"/>
              <w:rPr>
                <w:bCs/>
                <w:sz w:val="24"/>
              </w:rPr>
            </w:pPr>
          </w:p>
          <w:p>
            <w:pPr>
              <w:spacing w:line="460" w:lineRule="exact"/>
              <w:ind w:firstLine="480"/>
              <w:rPr>
                <w:bCs/>
                <w:sz w:val="24"/>
              </w:rPr>
            </w:pPr>
          </w:p>
          <w:p>
            <w:pPr>
              <w:spacing w:line="460" w:lineRule="exact"/>
              <w:ind w:firstLine="480"/>
              <w:rPr>
                <w:bCs/>
                <w:sz w:val="24"/>
              </w:rPr>
            </w:pPr>
          </w:p>
          <w:p>
            <w:pPr>
              <w:spacing w:line="460" w:lineRule="exact"/>
              <w:ind w:firstLine="480"/>
              <w:rPr>
                <w:color w:val="FF0000"/>
                <w:sz w:val="24"/>
              </w:rPr>
            </w:pPr>
          </w:p>
        </w:tc>
      </w:tr>
    </w:tbl>
    <w:p>
      <w:pPr>
        <w:pStyle w:val="4"/>
        <w:spacing w:before="156" w:after="156"/>
        <w:rPr>
          <w:rFonts w:ascii="Times New Roman"/>
          <w:sz w:val="30"/>
          <w:szCs w:val="30"/>
        </w:rPr>
        <w:sectPr>
          <w:pgSz w:w="11906" w:h="16838"/>
          <w:pgMar w:top="1701" w:right="1304" w:bottom="1134" w:left="1418" w:header="1134" w:footer="992" w:gutter="0"/>
          <w:cols w:space="425" w:num="1"/>
          <w:docGrid w:type="lines" w:linePitch="312" w:charSpace="0"/>
        </w:sectPr>
      </w:pPr>
      <w:bookmarkStart w:id="43" w:name="_Toc102119094"/>
      <w:bookmarkStart w:id="44" w:name="_Toc100123055"/>
      <w:bookmarkStart w:id="45" w:name="_Toc328647954"/>
      <w:bookmarkStart w:id="46" w:name="_Toc100122855"/>
      <w:bookmarkStart w:id="47" w:name="_Toc102120472"/>
      <w:bookmarkStart w:id="48" w:name="_Toc100119401"/>
      <w:bookmarkStart w:id="49" w:name="_Toc100123155"/>
      <w:bookmarkStart w:id="50" w:name="_Toc297795031"/>
      <w:bookmarkStart w:id="51" w:name="_Toc102120189"/>
    </w:p>
    <w:p>
      <w:pPr>
        <w:pStyle w:val="4"/>
        <w:spacing w:before="156" w:after="156"/>
        <w:rPr>
          <w:rFonts w:ascii="Times New Roman"/>
          <w:sz w:val="30"/>
          <w:szCs w:val="30"/>
        </w:rPr>
      </w:pPr>
      <w:bookmarkStart w:id="52" w:name="_Toc443915685"/>
      <w:r>
        <w:rPr>
          <w:rFonts w:ascii="Times New Roman"/>
          <w:sz w:val="30"/>
          <w:szCs w:val="30"/>
        </w:rPr>
        <w:t>表5  环境影响评价回顾</w:t>
      </w:r>
      <w:bookmarkEnd w:id="43"/>
      <w:bookmarkEnd w:id="44"/>
      <w:bookmarkEnd w:id="45"/>
      <w:bookmarkEnd w:id="46"/>
      <w:bookmarkEnd w:id="47"/>
      <w:bookmarkEnd w:id="48"/>
      <w:bookmarkEnd w:id="49"/>
      <w:bookmarkEnd w:id="50"/>
      <w:bookmarkEnd w:id="51"/>
      <w:bookmarkEnd w:id="52"/>
    </w:p>
    <w:tbl>
      <w:tblPr>
        <w:tblStyle w:val="3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400" w:type="dxa"/>
          </w:tcPr>
          <w:p>
            <w:pPr>
              <w:pStyle w:val="26"/>
              <w:spacing w:after="0" w:line="460" w:lineRule="exact"/>
              <w:ind w:left="0" w:leftChars="0" w:firstLine="480" w:firstLineChars="200"/>
              <w:rPr>
                <w:sz w:val="24"/>
                <w:szCs w:val="24"/>
              </w:rPr>
            </w:pPr>
            <w:r>
              <w:rPr>
                <w:sz w:val="24"/>
                <w:szCs w:val="24"/>
              </w:rPr>
              <w:t>环境影响评价的主要环境影响预测及结论</w:t>
            </w:r>
          </w:p>
          <w:p>
            <w:pPr>
              <w:pStyle w:val="26"/>
              <w:spacing w:after="0" w:line="460" w:lineRule="exact"/>
              <w:ind w:left="0" w:leftChars="0" w:firstLine="480" w:firstLineChars="200"/>
              <w:rPr>
                <w:sz w:val="24"/>
                <w:szCs w:val="24"/>
              </w:rPr>
            </w:pPr>
            <w:r>
              <w:rPr>
                <w:sz w:val="24"/>
                <w:szCs w:val="24"/>
              </w:rPr>
              <w:t>1、施工期</w:t>
            </w:r>
          </w:p>
          <w:p>
            <w:pPr>
              <w:pStyle w:val="26"/>
              <w:spacing w:after="0" w:line="460" w:lineRule="exact"/>
              <w:ind w:left="0" w:leftChars="0" w:firstLine="480" w:firstLineChars="200"/>
              <w:rPr>
                <w:sz w:val="24"/>
                <w:szCs w:val="24"/>
              </w:rPr>
            </w:pPr>
            <w:r>
              <w:rPr>
                <w:sz w:val="24"/>
                <w:szCs w:val="24"/>
              </w:rPr>
              <w:t>（1）环境空气影</w:t>
            </w:r>
            <w:r>
              <w:rPr>
                <w:rFonts w:hint="eastAsia"/>
                <w:sz w:val="24"/>
                <w:szCs w:val="24"/>
              </w:rPr>
              <w:t>响</w:t>
            </w:r>
            <w:r>
              <w:rPr>
                <w:sz w:val="24"/>
                <w:szCs w:val="24"/>
              </w:rPr>
              <w:t>分析</w:t>
            </w:r>
          </w:p>
          <w:p>
            <w:pPr>
              <w:pStyle w:val="86"/>
              <w:ind w:firstLine="480"/>
              <w:rPr>
                <w:rFonts w:cs="Times New Roman"/>
              </w:rPr>
            </w:pPr>
            <w:r>
              <w:rPr>
                <w:rFonts w:cs="Times New Roman"/>
              </w:rPr>
              <w:t>施工期环境空气影响主要为作业</w:t>
            </w:r>
            <w:r>
              <w:rPr>
                <w:rFonts w:hint="eastAsia" w:cs="Times New Roman"/>
              </w:rPr>
              <w:t>线</w:t>
            </w:r>
            <w:r>
              <w:rPr>
                <w:rFonts w:cs="Times New Roman"/>
              </w:rPr>
              <w:t>路清理、开挖管沟、现场堆放土石方、覆土回填、物料运输时产生的扬尘；施工机械在运行过程中会产生一定量的汽车废气；管道焊接时产生的烟气、打磨时产生的粉尘；严密性试验置换废气。</w:t>
            </w:r>
          </w:p>
          <w:p>
            <w:pPr>
              <w:pStyle w:val="26"/>
              <w:spacing w:after="0" w:line="460" w:lineRule="exact"/>
              <w:ind w:left="0" w:leftChars="0" w:firstLine="480" w:firstLineChars="200"/>
              <w:rPr>
                <w:sz w:val="24"/>
              </w:rPr>
            </w:pPr>
            <w:r>
              <w:rPr>
                <w:sz w:val="24"/>
              </w:rPr>
              <w:t>施工期产生的影响是临时性的，只要加强管理，文明施工，采取相应的防治措施后，对周围的环境影响较小。</w:t>
            </w:r>
          </w:p>
          <w:p>
            <w:pPr>
              <w:pStyle w:val="26"/>
              <w:spacing w:after="0" w:line="460" w:lineRule="exact"/>
              <w:ind w:left="0" w:leftChars="0" w:firstLine="480" w:firstLineChars="200"/>
              <w:rPr>
                <w:sz w:val="24"/>
                <w:szCs w:val="24"/>
              </w:rPr>
            </w:pPr>
            <w:r>
              <w:rPr>
                <w:sz w:val="24"/>
                <w:szCs w:val="24"/>
              </w:rPr>
              <w:t>（2）水环境影响分析</w:t>
            </w:r>
          </w:p>
          <w:p>
            <w:pPr>
              <w:pStyle w:val="26"/>
              <w:spacing w:after="0" w:line="460" w:lineRule="exact"/>
              <w:ind w:left="0" w:leftChars="0" w:firstLine="480" w:firstLineChars="200"/>
              <w:rPr>
                <w:kern w:val="0"/>
                <w:sz w:val="24"/>
                <w:szCs w:val="20"/>
              </w:rPr>
            </w:pPr>
            <w:r>
              <w:rPr>
                <w:sz w:val="24"/>
                <w:szCs w:val="24"/>
              </w:rPr>
              <w:t>本项目施工期间的水污染物主要为施工人员的生活污水。项目施工人员120人，生活用水量以60L/d·人计，日生活污水产生量约为5.76m</w:t>
            </w:r>
            <w:r>
              <w:rPr>
                <w:sz w:val="24"/>
                <w:szCs w:val="24"/>
                <w:vertAlign w:val="superscript"/>
              </w:rPr>
              <w:t>3</w:t>
            </w:r>
            <w:r>
              <w:rPr>
                <w:sz w:val="24"/>
                <w:szCs w:val="24"/>
              </w:rPr>
              <w:t>/d，其主要污染物为SS、BOD5、SS、氨氮，施工期施工人员不另设施工营地，在周边村庄租赁生活场地，</w:t>
            </w:r>
            <w:r>
              <w:rPr>
                <w:rFonts w:hint="eastAsia"/>
                <w:sz w:val="24"/>
                <w:szCs w:val="24"/>
              </w:rPr>
              <w:t>环评</w:t>
            </w:r>
            <w:r>
              <w:rPr>
                <w:sz w:val="24"/>
                <w:szCs w:val="24"/>
              </w:rPr>
              <w:t>要求生活污水排入化粪池后由当地村民拉走。</w:t>
            </w:r>
            <w:r>
              <w:rPr>
                <w:kern w:val="0"/>
                <w:sz w:val="24"/>
                <w:szCs w:val="20"/>
              </w:rPr>
              <w:t>线路施工穿越</w:t>
            </w:r>
            <w:r>
              <w:rPr>
                <w:rFonts w:hint="eastAsia"/>
                <w:kern w:val="0"/>
                <w:sz w:val="24"/>
                <w:szCs w:val="20"/>
              </w:rPr>
              <w:t>朱家川河</w:t>
            </w:r>
            <w:r>
              <w:rPr>
                <w:kern w:val="0"/>
                <w:sz w:val="24"/>
                <w:szCs w:val="20"/>
              </w:rPr>
              <w:t>河道时</w:t>
            </w:r>
            <w:r>
              <w:rPr>
                <w:rFonts w:hint="eastAsia"/>
                <w:kern w:val="0"/>
                <w:sz w:val="24"/>
                <w:szCs w:val="20"/>
              </w:rPr>
              <w:t>，</w:t>
            </w:r>
            <w:r>
              <w:rPr>
                <w:kern w:val="0"/>
                <w:sz w:val="24"/>
                <w:szCs w:val="20"/>
              </w:rPr>
              <w:t>采用围堰大开挖穿越，环评要求开挖过程中做好河水引导工作，对开挖铺设部分进行围挡，施工完毕后，及时恢复河道原状</w:t>
            </w:r>
            <w:r>
              <w:rPr>
                <w:rFonts w:hint="eastAsia"/>
                <w:kern w:val="0"/>
                <w:sz w:val="24"/>
                <w:szCs w:val="20"/>
              </w:rPr>
              <w:t>。</w:t>
            </w:r>
            <w:r>
              <w:rPr>
                <w:kern w:val="0"/>
                <w:sz w:val="24"/>
                <w:szCs w:val="20"/>
              </w:rPr>
              <w:t>因此，项目施工不会对周围水环境产生不良影响。</w:t>
            </w:r>
          </w:p>
          <w:p>
            <w:pPr>
              <w:pStyle w:val="26"/>
              <w:spacing w:after="0" w:line="460" w:lineRule="exact"/>
              <w:ind w:left="0" w:leftChars="0" w:firstLine="480" w:firstLineChars="200"/>
              <w:rPr>
                <w:sz w:val="24"/>
                <w:szCs w:val="24"/>
              </w:rPr>
            </w:pPr>
            <w:r>
              <w:rPr>
                <w:sz w:val="24"/>
                <w:szCs w:val="24"/>
              </w:rPr>
              <w:t>（3）噪声环境影响分析</w:t>
            </w:r>
          </w:p>
          <w:p>
            <w:pPr>
              <w:pStyle w:val="86"/>
              <w:ind w:firstLine="480"/>
              <w:rPr>
                <w:rFonts w:cs="Times New Roman"/>
              </w:rPr>
            </w:pPr>
            <w:r>
              <w:rPr>
                <w:rFonts w:cs="Times New Roman"/>
              </w:rPr>
              <w:t>施工期的噪声可分为机械噪声、施工作业噪声和施工车辆噪声。其中机械噪声如：挖土机、推土机等，多为点声源；施工噪声包括一些零星的敲打声、装卸车辆的撞击声、吆喝声等，多为瞬间噪声；施工车辆的噪声属交通噪声。其中施工噪声中对声环境影响最大的是机械噪声。</w:t>
            </w:r>
          </w:p>
          <w:p>
            <w:pPr>
              <w:pStyle w:val="86"/>
              <w:ind w:firstLine="480"/>
              <w:rPr>
                <w:rFonts w:cs="Times New Roman"/>
              </w:rPr>
            </w:pPr>
            <w:r>
              <w:rPr>
                <w:rFonts w:cs="Times New Roman"/>
              </w:rPr>
              <w:t>多台机械设备同时作业时，各台设备产生的噪声会产生叠加。根据类比调查，叠加后的噪声值增加约3-8分贝，一般不会超过10分贝。</w:t>
            </w:r>
          </w:p>
          <w:p>
            <w:pPr>
              <w:pStyle w:val="86"/>
              <w:ind w:firstLine="480"/>
              <w:rPr>
                <w:rFonts w:cs="Times New Roman"/>
              </w:rPr>
            </w:pPr>
            <w:r>
              <w:rPr>
                <w:rFonts w:cs="Times New Roman"/>
              </w:rPr>
              <w:t>类比相关项目的机械噪声测定和计算可知：昼间大部分机械在20m左右范围内就能满足施工场界噪声标准，夯实机械影响范围较大，在50m外能满足施工场界噪声标准；夜间大部分机械在50m范围内能满足施工场界噪声标准，夯实机械影响范围较大，夜间在200m外能满足施工场界噪声标准。</w:t>
            </w:r>
          </w:p>
          <w:p>
            <w:pPr>
              <w:pStyle w:val="86"/>
              <w:ind w:firstLine="480"/>
              <w:rPr>
                <w:rFonts w:cs="Times New Roman"/>
              </w:rPr>
            </w:pPr>
            <w:r>
              <w:rPr>
                <w:rFonts w:cs="Times New Roman"/>
              </w:rPr>
              <w:t>为确保项目施工过程不会对敏感点产生影响，环评要求在距离村庄200m范围以内禁止夜间施工。通过以上分析，本项目施工期不会对周围声环境产生大的影响。</w:t>
            </w:r>
          </w:p>
          <w:p>
            <w:pPr>
              <w:pStyle w:val="26"/>
              <w:spacing w:after="0" w:line="460" w:lineRule="exact"/>
              <w:ind w:left="0" w:leftChars="0" w:firstLine="480" w:firstLineChars="200"/>
              <w:rPr>
                <w:sz w:val="24"/>
                <w:szCs w:val="24"/>
              </w:rPr>
            </w:pPr>
            <w:r>
              <w:rPr>
                <w:sz w:val="24"/>
                <w:szCs w:val="24"/>
              </w:rPr>
              <w:t>（4）固体废弃物影响分析</w:t>
            </w:r>
          </w:p>
          <w:p>
            <w:pPr>
              <w:pStyle w:val="86"/>
              <w:ind w:firstLine="480"/>
              <w:rPr>
                <w:rFonts w:cs="Times New Roman"/>
              </w:rPr>
            </w:pPr>
            <w:r>
              <w:rPr>
                <w:rFonts w:cs="Times New Roman"/>
              </w:rPr>
              <w:t>1）施工中固体废物主要是弃土。弃土主要是管道敷设过程中所多余的土</w:t>
            </w:r>
            <w:r>
              <w:rPr>
                <w:rFonts w:hint="eastAsia" w:cs="Times New Roman"/>
              </w:rPr>
              <w:t>方</w:t>
            </w:r>
            <w:r>
              <w:rPr>
                <w:rFonts w:cs="Times New Roman"/>
              </w:rPr>
              <w:t>，本工程所铺设的管道单位长度</w:t>
            </w:r>
            <w:r>
              <w:rPr>
                <w:rFonts w:hint="eastAsia" w:cs="Times New Roman"/>
              </w:rPr>
              <w:t>（m）</w:t>
            </w:r>
            <w:r>
              <w:rPr>
                <w:rFonts w:cs="Times New Roman"/>
              </w:rPr>
              <w:t>会产生多余的土壤量为0.</w:t>
            </w:r>
            <w:r>
              <w:rPr>
                <w:rFonts w:hint="eastAsia" w:cs="Times New Roman"/>
              </w:rPr>
              <w:t>43</w:t>
            </w:r>
            <w:r>
              <w:rPr>
                <w:rFonts w:cs="Times New Roman"/>
              </w:rPr>
              <w:t>m</w:t>
            </w:r>
            <w:r>
              <w:rPr>
                <w:rFonts w:cs="Times New Roman"/>
                <w:vertAlign w:val="superscript"/>
              </w:rPr>
              <w:t>3</w:t>
            </w:r>
            <w:r>
              <w:rPr>
                <w:rFonts w:cs="Times New Roman"/>
              </w:rPr>
              <w:t>。弃土在管道两侧各</w:t>
            </w:r>
            <w:r>
              <w:rPr>
                <w:rFonts w:hint="eastAsia" w:cs="Times New Roman"/>
              </w:rPr>
              <w:t>3</w:t>
            </w:r>
            <w:r>
              <w:rPr>
                <w:rFonts w:cs="Times New Roman"/>
              </w:rPr>
              <w:t>.5米的范围内进行消化，则管道中心线附近土地增高</w:t>
            </w:r>
            <w:r>
              <w:rPr>
                <w:rFonts w:hint="eastAsia" w:cs="Times New Roman"/>
              </w:rPr>
              <w:t>6.1cm</w:t>
            </w:r>
            <w:r>
              <w:rPr>
                <w:rFonts w:cs="Times New Roman"/>
              </w:rPr>
              <w:t>，再经过1－2年的耕作和犁耙</w:t>
            </w:r>
            <w:r>
              <w:rPr>
                <w:rFonts w:hint="eastAsia" w:cs="Times New Roman"/>
              </w:rPr>
              <w:t>或自然沉降</w:t>
            </w:r>
            <w:r>
              <w:rPr>
                <w:rFonts w:cs="Times New Roman"/>
              </w:rPr>
              <w:t>，埋管处的土壤将会与其它地方的高程相差不多，不会对环境产生不良影响。</w:t>
            </w:r>
          </w:p>
          <w:p>
            <w:pPr>
              <w:pStyle w:val="86"/>
              <w:ind w:firstLine="480"/>
              <w:rPr>
                <w:rFonts w:cs="Times New Roman"/>
              </w:rPr>
            </w:pPr>
            <w:r>
              <w:rPr>
                <w:rFonts w:cs="Times New Roman"/>
              </w:rPr>
              <w:t>2）施工过程中的产生的</w:t>
            </w:r>
            <w:r>
              <w:rPr>
                <w:rFonts w:hint="eastAsia" w:cs="Times New Roman"/>
              </w:rPr>
              <w:t>废防腐材料应及时清运</w:t>
            </w:r>
            <w:r>
              <w:rPr>
                <w:rFonts w:cs="Times New Roman"/>
              </w:rPr>
              <w:t>，</w:t>
            </w:r>
            <w:r>
              <w:rPr>
                <w:rFonts w:hint="eastAsia" w:cs="Times New Roman"/>
              </w:rPr>
              <w:t>统一收集后外售</w:t>
            </w:r>
            <w:r>
              <w:rPr>
                <w:rFonts w:cs="Times New Roman"/>
              </w:rPr>
              <w:t>。管道焊接时会产生废焊条，废焊条不能随便丢弃，应统一收集后外售。</w:t>
            </w:r>
          </w:p>
          <w:p>
            <w:pPr>
              <w:pStyle w:val="86"/>
              <w:ind w:firstLine="480"/>
              <w:rPr>
                <w:rFonts w:cs="Times New Roman"/>
              </w:rPr>
            </w:pPr>
            <w:r>
              <w:rPr>
                <w:rFonts w:cs="Times New Roman"/>
              </w:rPr>
              <w:t>3）</w:t>
            </w:r>
            <w:r>
              <w:rPr>
                <w:rFonts w:hint="eastAsia" w:cs="Times New Roman"/>
              </w:rPr>
              <w:t>河道施工过程中产生的泥浆，环评要求在河道外作业带内管线组装区域设一个泥浆收集池，泥浆经沉淀后定期清运至建筑垃圾填埋场。</w:t>
            </w:r>
          </w:p>
          <w:p>
            <w:pPr>
              <w:pStyle w:val="86"/>
              <w:ind w:firstLine="480"/>
              <w:rPr>
                <w:rFonts w:cs="Times New Roman"/>
              </w:rPr>
            </w:pPr>
            <w:r>
              <w:rPr>
                <w:rFonts w:cs="Times New Roman"/>
              </w:rPr>
              <w:t>4）清管</w:t>
            </w:r>
            <w:r>
              <w:rPr>
                <w:rFonts w:hint="eastAsia" w:cs="Times New Roman"/>
              </w:rPr>
              <w:t>、吹扫</w:t>
            </w:r>
            <w:r>
              <w:rPr>
                <w:rFonts w:cs="Times New Roman"/>
              </w:rPr>
              <w:t>过程中产生的</w:t>
            </w:r>
            <w:r>
              <w:rPr>
                <w:rFonts w:hint="eastAsia" w:cs="Times New Roman"/>
              </w:rPr>
              <w:t>粉尘、施工废料</w:t>
            </w:r>
            <w:r>
              <w:rPr>
                <w:rFonts w:cs="Times New Roman"/>
              </w:rPr>
              <w:t>，</w:t>
            </w:r>
            <w:r>
              <w:rPr>
                <w:rFonts w:hint="eastAsia" w:cs="Times New Roman"/>
              </w:rPr>
              <w:t>统一收集后送至建筑垃圾填埋场</w:t>
            </w:r>
            <w:r>
              <w:rPr>
                <w:rFonts w:cs="Times New Roman"/>
              </w:rPr>
              <w:t>。</w:t>
            </w:r>
          </w:p>
          <w:p>
            <w:pPr>
              <w:pStyle w:val="26"/>
              <w:adjustRightInd w:val="0"/>
              <w:snapToGrid w:val="0"/>
              <w:spacing w:after="0" w:line="460" w:lineRule="exact"/>
              <w:ind w:left="0" w:leftChars="0" w:firstLine="480" w:firstLineChars="200"/>
              <w:rPr>
                <w:sz w:val="24"/>
              </w:rPr>
            </w:pPr>
            <w:r>
              <w:rPr>
                <w:rFonts w:hint="eastAsia"/>
                <w:sz w:val="24"/>
              </w:rPr>
              <w:t>因此，</w:t>
            </w:r>
            <w:r>
              <w:rPr>
                <w:sz w:val="24"/>
              </w:rPr>
              <w:t>固废均能合理处置，对环境影响较小。</w:t>
            </w:r>
          </w:p>
          <w:p>
            <w:pPr>
              <w:pStyle w:val="26"/>
              <w:spacing w:after="0" w:line="460" w:lineRule="exact"/>
              <w:ind w:left="0" w:leftChars="0" w:firstLine="480" w:firstLineChars="200"/>
              <w:rPr>
                <w:sz w:val="24"/>
                <w:szCs w:val="24"/>
              </w:rPr>
            </w:pPr>
            <w:r>
              <w:rPr>
                <w:sz w:val="24"/>
                <w:szCs w:val="24"/>
              </w:rPr>
              <w:t>（5）生态影响分析</w:t>
            </w:r>
          </w:p>
          <w:p>
            <w:pPr>
              <w:pStyle w:val="86"/>
              <w:ind w:firstLine="480"/>
              <w:rPr>
                <w:rFonts w:cs="Times New Roman"/>
                <w:color w:val="000000" w:themeColor="text1"/>
              </w:rPr>
            </w:pPr>
            <w:r>
              <w:rPr>
                <w:rFonts w:hint="eastAsia" w:cs="Times New Roman"/>
                <w:color w:val="000000" w:themeColor="text1"/>
              </w:rPr>
              <w:t>1）</w:t>
            </w:r>
            <w:r>
              <w:rPr>
                <w:rFonts w:cs="Times New Roman"/>
                <w:color w:val="000000" w:themeColor="text1"/>
              </w:rPr>
              <w:t>对土地利用的影响分析</w:t>
            </w:r>
          </w:p>
          <w:p>
            <w:pPr>
              <w:pStyle w:val="86"/>
              <w:ind w:firstLine="480"/>
              <w:rPr>
                <w:rFonts w:cs="Times New Roman"/>
                <w:color w:val="000000" w:themeColor="text1"/>
              </w:rPr>
            </w:pPr>
            <w:r>
              <w:rPr>
                <w:rFonts w:cs="Times New Roman"/>
                <w:color w:val="000000" w:themeColor="text1"/>
              </w:rPr>
              <w:t>工程占地主要是管线施工作业用地，主要为临时性占地，施工结束后可恢复。本项目管线地表开挖宽度为1.0m左右，施工方法采用沟埋敷设，施工影响范围为12m，管道施工临时占地面积为96700m2，暂时改变了土地利用性质。保德首站扩建在原站场进行，不新增占地。</w:t>
            </w:r>
          </w:p>
          <w:p>
            <w:pPr>
              <w:pStyle w:val="86"/>
              <w:ind w:firstLine="480"/>
              <w:rPr>
                <w:rFonts w:cs="Times New Roman"/>
                <w:color w:val="000000" w:themeColor="text1"/>
              </w:rPr>
            </w:pPr>
            <w:r>
              <w:rPr>
                <w:rFonts w:cs="Times New Roman"/>
                <w:color w:val="000000" w:themeColor="text1"/>
              </w:rPr>
              <w:t>管道工程大部分临时占地主要集中在管道开挖埋设施工过程中，由于管道施工分段进行，且施工时间较短，每段管线从施工到重新覆土约为三个月的时间，在施工完毕管道敷设完成后该地段土地利用大部分可恢复为原利用状态，林地等不能恢复的生态环境尽量种植其他浅根系植物。因此，临时施工占地对土地利用的影响较小。</w:t>
            </w:r>
          </w:p>
          <w:p>
            <w:pPr>
              <w:pStyle w:val="86"/>
              <w:ind w:firstLine="480"/>
              <w:rPr>
                <w:rFonts w:cs="Times New Roman"/>
                <w:color w:val="000000" w:themeColor="text1"/>
              </w:rPr>
            </w:pPr>
            <w:r>
              <w:rPr>
                <w:rFonts w:hint="eastAsia" w:cs="Times New Roman"/>
                <w:color w:val="000000" w:themeColor="text1"/>
              </w:rPr>
              <w:t>2）</w:t>
            </w:r>
            <w:r>
              <w:rPr>
                <w:rFonts w:cs="Times New Roman"/>
                <w:color w:val="000000" w:themeColor="text1"/>
              </w:rPr>
              <w:t>对地表植被的影响分析</w:t>
            </w:r>
          </w:p>
          <w:p>
            <w:pPr>
              <w:pStyle w:val="86"/>
              <w:ind w:firstLine="480"/>
              <w:rPr>
                <w:rFonts w:cs="Times New Roman"/>
                <w:color w:val="000000" w:themeColor="text1"/>
              </w:rPr>
            </w:pPr>
            <w:r>
              <w:rPr>
                <w:rFonts w:cs="Times New Roman"/>
                <w:color w:val="000000" w:themeColor="text1"/>
              </w:rPr>
              <w:t>工程施工期，对植被、野生植物的影响是多方面的。由于管沟开挖填埋、机械与车辆碾压，人员践踏等影响，将会破坏地表植被，影响周围生态环境。</w:t>
            </w:r>
          </w:p>
          <w:p>
            <w:pPr>
              <w:pStyle w:val="86"/>
              <w:ind w:firstLine="480"/>
              <w:rPr>
                <w:rFonts w:cs="Times New Roman"/>
                <w:color w:val="000000" w:themeColor="text1"/>
              </w:rPr>
            </w:pPr>
            <w:r>
              <w:rPr>
                <w:rFonts w:cs="Times New Roman"/>
                <w:color w:val="000000" w:themeColor="text1"/>
              </w:rPr>
              <w:t>首先，施工中开挖充填，将直接破坏工程区域内的植被（铲除草被、机械碾压、埋压植被等），临时占地破坏地表植被，扰动原土层结构，造成土层松动，造成局部水土流失，植被覆盖率下降；同时大量建筑材料、土石方弃料堆存，均可使局部区域植物被砍伐或被弃土所覆盖，使原地表生态发生改变，松散的堆积层易形成水土流失；再则较大面积的植被破坏促使了植被次生演替的加大；施工中的扬尘悬浮微粒也会对附近植物正常生长产生轻微的不利影响。但是以上这些不利影响主要是短期和局部的，随着施工期的结束会逐渐消失。</w:t>
            </w:r>
          </w:p>
          <w:p>
            <w:pPr>
              <w:pStyle w:val="86"/>
              <w:ind w:firstLine="480"/>
              <w:rPr>
                <w:rFonts w:cs="Times New Roman"/>
                <w:color w:val="000000" w:themeColor="text1"/>
              </w:rPr>
            </w:pPr>
            <w:r>
              <w:rPr>
                <w:rFonts w:cs="Times New Roman"/>
                <w:color w:val="000000" w:themeColor="text1"/>
              </w:rPr>
              <w:t>管线所经地段主要地类为灌木及荒地、旱地、林地等。根据国务院313号令《石油天然气管道保护条例》规定，石油天然气管道中心线两侧5m范围内禁止种植深根系植物，因此，内外输管道林区段施工结束后中心线两侧5m范围内的林地不能恢复，而管道两侧5m以外临时占地在施工结束后，仍可按需要进行树木或农作物的种植。施工结束后，周围植物渐次侵入，开始恢复演替过程。再加上采用人工植树种草的措施，恢复进程可以大大加快，林地中的草本层2～3年可恢复，灌木层3～5年可恢复，乔木层10～15年可恢复。</w:t>
            </w:r>
          </w:p>
          <w:p>
            <w:pPr>
              <w:pStyle w:val="86"/>
              <w:ind w:firstLine="480"/>
              <w:rPr>
                <w:rFonts w:cs="Times New Roman"/>
                <w:color w:val="000000" w:themeColor="text1"/>
              </w:rPr>
            </w:pPr>
            <w:r>
              <w:rPr>
                <w:rFonts w:cs="Times New Roman"/>
                <w:color w:val="000000" w:themeColor="text1"/>
              </w:rPr>
              <w:t>施工结束后不能恢复的林地将改变现有土地利用的类型、性质和功能，管道中心线两侧5m范围内林地因禁止种植深根系植物，将变为灌丛用地。</w:t>
            </w:r>
          </w:p>
          <w:p>
            <w:pPr>
              <w:pStyle w:val="86"/>
              <w:ind w:firstLine="480"/>
              <w:rPr>
                <w:rFonts w:cs="Times New Roman"/>
                <w:color w:val="000000" w:themeColor="text1"/>
              </w:rPr>
            </w:pPr>
            <w:r>
              <w:rPr>
                <w:rFonts w:hint="eastAsia" w:cs="Times New Roman"/>
                <w:color w:val="000000" w:themeColor="text1"/>
              </w:rPr>
              <w:t>3）</w:t>
            </w:r>
            <w:r>
              <w:rPr>
                <w:rFonts w:cs="Times New Roman"/>
                <w:color w:val="000000" w:themeColor="text1"/>
              </w:rPr>
              <w:t>穿越工程对生态环境的影响分析</w:t>
            </w:r>
          </w:p>
          <w:p>
            <w:pPr>
              <w:pStyle w:val="86"/>
              <w:ind w:firstLine="480"/>
              <w:rPr>
                <w:rFonts w:cs="Times New Roman"/>
                <w:color w:val="000000" w:themeColor="text1"/>
              </w:rPr>
            </w:pPr>
            <w:r>
              <w:rPr>
                <w:rFonts w:cs="Times New Roman"/>
                <w:color w:val="000000" w:themeColor="text1"/>
              </w:rPr>
              <w:t>穿越河流时，采用大开挖穿越；穿越高速路时采用顶管加保护套管的方式；县级及其以下等级的沥青、水泥公路采用顶管方式穿越，土路、砂石路及碎石路采用大开挖方式穿越。顶管作业，会产生一定量的弃土，但只要安排好工程进度，搞好施工管理，妥善处置弃土，顶管穿越工程不会对生态环境造成影响。穿越工程对生态环境的影响很小，且属于短期影响，施工结束影响也随之消失。因而，可以采取集中施工方式进行，以缩短施工期限，减少影响时间。</w:t>
            </w:r>
          </w:p>
          <w:p>
            <w:pPr>
              <w:pStyle w:val="86"/>
              <w:ind w:firstLine="480"/>
              <w:rPr>
                <w:rFonts w:cs="Times New Roman"/>
                <w:color w:val="000000" w:themeColor="text1"/>
              </w:rPr>
            </w:pPr>
            <w:r>
              <w:rPr>
                <w:rFonts w:hint="eastAsia" w:cs="Times New Roman"/>
                <w:color w:val="000000" w:themeColor="text1"/>
              </w:rPr>
              <w:t>4）</w:t>
            </w:r>
            <w:r>
              <w:rPr>
                <w:rFonts w:cs="Times New Roman"/>
                <w:color w:val="000000" w:themeColor="text1"/>
              </w:rPr>
              <w:t>对水土流失影响分析</w:t>
            </w:r>
          </w:p>
          <w:p>
            <w:pPr>
              <w:pStyle w:val="86"/>
              <w:ind w:firstLine="480"/>
              <w:rPr>
                <w:rFonts w:cs="Times New Roman"/>
                <w:color w:val="000000" w:themeColor="text1"/>
              </w:rPr>
            </w:pPr>
            <w:r>
              <w:rPr>
                <w:rFonts w:cs="Times New Roman"/>
                <w:color w:val="000000" w:themeColor="text1"/>
              </w:rPr>
              <w:t>沿线管道施工使得土质疏松，遇强降雨会加强水土流失。尤其朱家川河、冲沟穿越后一定要做好护坡等工作，否则水土流失影响较明显。</w:t>
            </w:r>
          </w:p>
          <w:p>
            <w:pPr>
              <w:pStyle w:val="86"/>
              <w:ind w:firstLine="480"/>
              <w:rPr>
                <w:rFonts w:cs="Times New Roman"/>
                <w:color w:val="000000" w:themeColor="text1"/>
              </w:rPr>
            </w:pPr>
            <w:r>
              <w:rPr>
                <w:rFonts w:hint="eastAsia" w:cs="Times New Roman"/>
                <w:color w:val="000000" w:themeColor="text1"/>
              </w:rPr>
              <w:t>5）</w:t>
            </w:r>
            <w:r>
              <w:rPr>
                <w:rFonts w:cs="Times New Roman"/>
                <w:color w:val="000000" w:themeColor="text1"/>
              </w:rPr>
              <w:t>对农作物的影响分析</w:t>
            </w:r>
          </w:p>
          <w:p>
            <w:pPr>
              <w:pStyle w:val="86"/>
              <w:ind w:firstLine="480"/>
              <w:rPr>
                <w:rFonts w:cs="Times New Roman"/>
                <w:color w:val="000000" w:themeColor="text1"/>
              </w:rPr>
            </w:pPr>
            <w:r>
              <w:rPr>
                <w:rFonts w:cs="Times New Roman"/>
                <w:color w:val="000000" w:themeColor="text1"/>
              </w:rPr>
              <w:t>由于管沟开挖填埋、机械与车辆碾压，人员践踏等影响，将会破坏农作物，影响农作物的产量。</w:t>
            </w:r>
          </w:p>
          <w:p>
            <w:pPr>
              <w:pStyle w:val="86"/>
              <w:ind w:firstLine="480"/>
              <w:rPr>
                <w:rFonts w:cs="Times New Roman"/>
                <w:color w:val="000000" w:themeColor="text1"/>
              </w:rPr>
            </w:pPr>
            <w:r>
              <w:rPr>
                <w:rFonts w:cs="Times New Roman"/>
                <w:color w:val="000000" w:themeColor="text1"/>
              </w:rPr>
              <w:t>因本项目穿越耕地，大部分避开了农作物的主要收获季节，因此，对农作物的影响不大。</w:t>
            </w:r>
          </w:p>
          <w:p>
            <w:pPr>
              <w:pStyle w:val="86"/>
              <w:ind w:firstLine="480"/>
              <w:rPr>
                <w:rFonts w:cs="Times New Roman"/>
                <w:color w:val="000000" w:themeColor="text1"/>
              </w:rPr>
            </w:pPr>
            <w:r>
              <w:rPr>
                <w:rFonts w:hint="eastAsia" w:cs="Times New Roman"/>
                <w:color w:val="000000" w:themeColor="text1"/>
              </w:rPr>
              <w:t>6）</w:t>
            </w:r>
            <w:r>
              <w:rPr>
                <w:rFonts w:cs="Times New Roman"/>
                <w:color w:val="000000" w:themeColor="text1"/>
              </w:rPr>
              <w:t>土壤环境的影响分析</w:t>
            </w:r>
          </w:p>
          <w:p>
            <w:pPr>
              <w:pStyle w:val="86"/>
              <w:ind w:firstLine="480"/>
              <w:rPr>
                <w:rFonts w:cs="Times New Roman"/>
                <w:color w:val="000000" w:themeColor="text1"/>
              </w:rPr>
            </w:pPr>
            <w:r>
              <w:rPr>
                <w:rFonts w:cs="Times New Roman"/>
                <w:color w:val="000000" w:themeColor="text1"/>
              </w:rPr>
              <w:t>输气管道施工方法为大开挖方式和顶管加保护套管方式敷设管线，将在较大面积范围内的不同土壤类型上进行开挖和填埋，它对土壤环境的影响表现在：</w:t>
            </w:r>
          </w:p>
          <w:p>
            <w:pPr>
              <w:pStyle w:val="86"/>
              <w:ind w:firstLine="480"/>
              <w:rPr>
                <w:rFonts w:cs="Times New Roman"/>
                <w:color w:val="000000" w:themeColor="text1"/>
              </w:rPr>
            </w:pPr>
            <w:r>
              <w:rPr>
                <w:rFonts w:cs="Times New Roman"/>
                <w:color w:val="000000" w:themeColor="text1"/>
              </w:rPr>
              <w:t>破坏土壤结构:土壤结构的形成需要漫长的时间，土壤结构是土壤质量好坏的重要指标，特别是团粒结构是土壤质量的重要指标，团粒结构占的比例越高，表明土壤质量越好，团粒结构一旦破坏，恢复需要较长时间，而且比较困难。输气管道在开挖和填埋时，不仅很容易破坏团粒结构，而且干扰了团粒结构的自然形成过程。施工过程中的机械碾压、人员践踏等活动都会对土壤结构产生不良影响。</w:t>
            </w:r>
          </w:p>
          <w:p>
            <w:pPr>
              <w:pStyle w:val="86"/>
              <w:ind w:firstLine="480"/>
              <w:rPr>
                <w:rFonts w:cs="Times New Roman"/>
                <w:color w:val="000000" w:themeColor="text1"/>
              </w:rPr>
            </w:pPr>
            <w:r>
              <w:rPr>
                <w:rFonts w:cs="Times New Roman"/>
                <w:color w:val="000000" w:themeColor="text1"/>
              </w:rPr>
              <w:t>破坏土壤层次改变土壤质地:土壤在形成过程中具有一定的分层特性，土壤表层为腐殖质层，中层为淋溶淀积层，底层为成土母质层。本工程管线所经耕作区，土壤经过人类改造，其土壤层次、深度与自然条件下形成的土壤还有一定区别，表层为耕作层，深度约为15.25cm，中层为犁底层20-40cm，40cm以下为母质层。耕地是农业生产的重要生产资料和国民经济发展的基础，耕作层是作物根系分布密集区，土壤肥力、水分集中分布区。管道开挖和回填过程中，必然会对土壤原有层次产生扰动和破坏，使不同层次、不同质地的土体产生混合，特别是耕作层土壤被混合后，直接影响农作物的生长和产量。</w:t>
            </w:r>
          </w:p>
          <w:p>
            <w:pPr>
              <w:pStyle w:val="86"/>
              <w:ind w:firstLine="480"/>
              <w:rPr>
                <w:rFonts w:cs="Times New Roman"/>
                <w:color w:val="000000" w:themeColor="text1"/>
              </w:rPr>
            </w:pPr>
            <w:r>
              <w:rPr>
                <w:rFonts w:cs="Times New Roman"/>
                <w:color w:val="000000" w:themeColor="text1"/>
              </w:rPr>
              <w:t>影响土壤的紧实度：紧实度是表征土壤物理性质的指标之一。在施工机械作业中，机械设备的碾压，施工人员的践踏都会对土壤的紧实度产生影响，机械碾压的结果是使土壤紧密度增高，地表水入渗减少，土体过于紧密不利于农作物生长。</w:t>
            </w:r>
          </w:p>
          <w:p>
            <w:pPr>
              <w:pStyle w:val="86"/>
              <w:ind w:firstLine="480"/>
              <w:rPr>
                <w:rFonts w:cs="Times New Roman"/>
                <w:color w:val="000000" w:themeColor="text1"/>
              </w:rPr>
            </w:pPr>
            <w:r>
              <w:rPr>
                <w:rFonts w:cs="Times New Roman"/>
                <w:color w:val="000000" w:themeColor="text1"/>
              </w:rPr>
              <w:t>土壤养分流失:在土壤各个土层中，就养分状况而言，表土层(腐殖质层、耕作层)远较心土层好，其有机质、全氮、全磷均较其它层次高。施工作业对原有的土体构型产生扰动，使土壤性质发生变化，土壤养分状况受到影响，从而影响农作物生长。</w:t>
            </w:r>
          </w:p>
          <w:p>
            <w:pPr>
              <w:pStyle w:val="86"/>
              <w:ind w:firstLine="480"/>
              <w:rPr>
                <w:rFonts w:cs="Times New Roman"/>
                <w:color w:val="000000" w:themeColor="text1"/>
              </w:rPr>
            </w:pPr>
            <w:r>
              <w:rPr>
                <w:rFonts w:cs="Times New Roman"/>
                <w:color w:val="000000" w:themeColor="text1"/>
              </w:rPr>
              <w:t>施工废物对土壤环境的影响:在管道施工中遗留的有管道外层保温、防腐等工序的废弃物。这些固体废物有可能长期残留于土壤中，难以分解，影响土壤耕作和农作物的生长。</w:t>
            </w:r>
          </w:p>
          <w:p>
            <w:pPr>
              <w:pStyle w:val="86"/>
              <w:ind w:firstLine="480"/>
              <w:rPr>
                <w:rFonts w:cs="Times New Roman"/>
                <w:color w:val="000000" w:themeColor="text1"/>
              </w:rPr>
            </w:pPr>
            <w:r>
              <w:rPr>
                <w:rFonts w:hint="eastAsia" w:cs="Times New Roman"/>
                <w:color w:val="000000" w:themeColor="text1"/>
              </w:rPr>
              <w:t>7）</w:t>
            </w:r>
            <w:r>
              <w:rPr>
                <w:rFonts w:cs="Times New Roman"/>
                <w:color w:val="000000" w:themeColor="text1"/>
              </w:rPr>
              <w:t>对动植物生态环境的影响分析</w:t>
            </w:r>
          </w:p>
          <w:p>
            <w:pPr>
              <w:pStyle w:val="86"/>
              <w:ind w:firstLine="480"/>
              <w:rPr>
                <w:rFonts w:cs="Times New Roman"/>
                <w:color w:val="000000" w:themeColor="text1"/>
              </w:rPr>
            </w:pPr>
            <w:r>
              <w:rPr>
                <w:rFonts w:cs="Times New Roman"/>
                <w:color w:val="000000" w:themeColor="text1"/>
              </w:rPr>
              <w:t>管道沿线无自然保护区，无珍稀动、植物分布。对野生植物的影响主要体现在施工过程中，施工人员及施工机械车辆对野生植物的践踏、碾压和破坏。在管线施工和站场建设过程中将破坏植被，减少野生植物，特别是管沟两侧的植物。</w:t>
            </w:r>
          </w:p>
          <w:p>
            <w:pPr>
              <w:pStyle w:val="86"/>
              <w:ind w:firstLine="480"/>
              <w:rPr>
                <w:rFonts w:cs="Times New Roman"/>
                <w:color w:val="000000" w:themeColor="text1"/>
              </w:rPr>
            </w:pPr>
            <w:r>
              <w:rPr>
                <w:rFonts w:cs="Times New Roman"/>
                <w:color w:val="000000" w:themeColor="text1"/>
              </w:rPr>
              <w:t>对野生动物的影响主要体现在：管线敷设过程中对野生动物的轻微惊吓和干扰。管线穿越林地时，施工活动可能对林地内野生动物造成惊吓，影响动物的正常活动。</w:t>
            </w:r>
          </w:p>
          <w:p>
            <w:pPr>
              <w:pStyle w:val="86"/>
              <w:ind w:firstLine="480"/>
              <w:rPr>
                <w:rFonts w:cs="Times New Roman"/>
                <w:color w:val="000000" w:themeColor="text1"/>
              </w:rPr>
            </w:pPr>
            <w:r>
              <w:rPr>
                <w:rFonts w:cs="Times New Roman"/>
                <w:color w:val="000000" w:themeColor="text1"/>
              </w:rPr>
              <w:t>综上分析，必须采取相应的防止生态破坏措施和生态恢复措施，尤其是通过施工管理和强化施工期的保护和恢复，使本项目建设对生态环境影响在可接受范围内。在采取评价要求的措施后，对周围生态环境影响较</w:t>
            </w:r>
            <w:r>
              <w:rPr>
                <w:rFonts w:hint="eastAsia" w:cs="Times New Roman"/>
                <w:color w:val="000000" w:themeColor="text1"/>
              </w:rPr>
              <w:t>小。</w:t>
            </w:r>
          </w:p>
          <w:p>
            <w:pPr>
              <w:pStyle w:val="86"/>
              <w:ind w:firstLine="480"/>
              <w:rPr>
                <w:rFonts w:cs="Times New Roman"/>
              </w:rPr>
            </w:pPr>
            <w:r>
              <w:rPr>
                <w:rFonts w:cs="Times New Roman"/>
              </w:rPr>
              <w:t>2、运营期</w:t>
            </w:r>
          </w:p>
          <w:p>
            <w:pPr>
              <w:pStyle w:val="86"/>
              <w:ind w:firstLine="480"/>
              <w:rPr>
                <w:rFonts w:cs="Times New Roman"/>
              </w:rPr>
            </w:pPr>
            <w:r>
              <w:rPr>
                <w:rFonts w:cs="Times New Roman"/>
              </w:rPr>
              <w:t>（1）环境空气质量影响分析</w:t>
            </w:r>
          </w:p>
          <w:p>
            <w:pPr>
              <w:pStyle w:val="86"/>
              <w:ind w:firstLine="480"/>
              <w:rPr>
                <w:rFonts w:cs="Times New Roman"/>
              </w:rPr>
            </w:pPr>
            <w:r>
              <w:rPr>
                <w:rFonts w:cs="Times New Roman"/>
              </w:rPr>
              <w:t>项目运行在正常情况下,无废气的产生,对大气环境无任何不良影响,在清管作业及系统超压、检修时会有一定量的天然气(1-2次/年)从分输站排放。本工程采用</w:t>
            </w:r>
            <w:r>
              <w:rPr>
                <w:rFonts w:hint="eastAsia" w:cs="Times New Roman"/>
              </w:rPr>
              <w:t>原站场</w:t>
            </w:r>
            <w:r>
              <w:rPr>
                <w:rFonts w:cs="Times New Roman"/>
              </w:rPr>
              <w:t>高</w:t>
            </w:r>
            <w:r>
              <w:rPr>
                <w:rFonts w:hint="eastAsia" w:cs="Times New Roman"/>
              </w:rPr>
              <w:t>2</w:t>
            </w:r>
            <w:r>
              <w:rPr>
                <w:rFonts w:cs="Times New Roman"/>
              </w:rPr>
              <w:t>5米的放空火炬放空,这样可以使大部分有害物质燃烧,燃烧后烟气中</w:t>
            </w:r>
            <w:r>
              <w:rPr>
                <w:rFonts w:hint="eastAsia" w:cs="Times New Roman"/>
              </w:rPr>
              <w:t>主要污染物NOx的含量</w:t>
            </w:r>
            <w:r>
              <w:rPr>
                <w:rFonts w:cs="Times New Roman"/>
              </w:rPr>
              <w:t>为</w:t>
            </w:r>
            <w:r>
              <w:rPr>
                <w:rFonts w:hint="eastAsia" w:cs="Times New Roman"/>
              </w:rPr>
              <w:t>200</w:t>
            </w:r>
            <w:r>
              <w:rPr>
                <w:rFonts w:cs="Times New Roman"/>
              </w:rPr>
              <w:t>mg/m</w:t>
            </w:r>
            <w:r>
              <w:rPr>
                <w:rFonts w:cs="Times New Roman"/>
                <w:vertAlign w:val="superscript"/>
              </w:rPr>
              <w:t>3</w:t>
            </w:r>
            <w:r>
              <w:rPr>
                <w:rFonts w:cs="Times New Roman"/>
              </w:rPr>
              <w:t>，低于排放标准要求，实现达标排放。对分输站周围的大气环境影响很小。</w:t>
            </w:r>
          </w:p>
          <w:p>
            <w:pPr>
              <w:pStyle w:val="86"/>
              <w:ind w:firstLine="480"/>
              <w:rPr>
                <w:rFonts w:cs="Times New Roman"/>
              </w:rPr>
            </w:pPr>
            <w:r>
              <w:rPr>
                <w:rFonts w:cs="Times New Roman"/>
              </w:rPr>
              <w:t>（2）水环境影响分析</w:t>
            </w:r>
          </w:p>
          <w:p>
            <w:pPr>
              <w:pStyle w:val="86"/>
              <w:ind w:firstLine="480"/>
              <w:rPr>
                <w:rFonts w:cs="Times New Roman"/>
              </w:rPr>
            </w:pPr>
            <w:r>
              <w:rPr>
                <w:rFonts w:cs="Times New Roman"/>
              </w:rPr>
              <w:t>输气管线埋深较浅，不会到达沿线水源地的取水层位，而且输气管线并未穿越沿线水源地保护区，正常运营期管道对沿线水源地无影响；非正常工况下，当管道发生泄漏事故时，泄漏的天然气会逸散到大气中，亦不会对地下水产生影响，因此，营运期输气管线对水源地无影响。</w:t>
            </w:r>
          </w:p>
          <w:p>
            <w:pPr>
              <w:pStyle w:val="86"/>
              <w:ind w:firstLine="480"/>
              <w:rPr>
                <w:rFonts w:cs="Times New Roman"/>
              </w:rPr>
            </w:pPr>
            <w:r>
              <w:rPr>
                <w:rFonts w:cs="Times New Roman"/>
              </w:rPr>
              <w:t>管线穿越朱家川河，正常工况下，由于输气管线是全封闭系统，输运的天然气不会与管线穿越的河流水体之间发生联系，同时管道采用外防腐层和强制电流阴极保护联合方式，正常运营期管道对其穿越的河流不会造成影响，对周边环境无影响。非正常工况下，当管道发生泄漏事故时，泄漏的天然气会经过地表水泄漏到大气中，对水质的影响较小，且开挖沟埋方式敷设的管道是免维护的，不会因管道维护对地表水环境造成影响。</w:t>
            </w:r>
          </w:p>
          <w:p>
            <w:pPr>
              <w:pStyle w:val="86"/>
              <w:ind w:firstLine="480"/>
              <w:rPr>
                <w:rFonts w:cs="Times New Roman"/>
              </w:rPr>
            </w:pPr>
            <w:r>
              <w:rPr>
                <w:rFonts w:cs="Times New Roman"/>
              </w:rPr>
              <w:t>本项目</w:t>
            </w:r>
            <w:r>
              <w:rPr>
                <w:rFonts w:hint="eastAsia" w:cs="Times New Roman"/>
              </w:rPr>
              <w:t>扩建</w:t>
            </w:r>
            <w:r>
              <w:rPr>
                <w:rFonts w:cs="Times New Roman"/>
              </w:rPr>
              <w:t>保德首站，根据现场踏勘及设计资料，保德首站擦洗设备产生废水量很小，随原污水处理系统进入站场排污池</w:t>
            </w:r>
            <w:r>
              <w:rPr>
                <w:rFonts w:hint="eastAsia" w:cs="Times New Roman"/>
              </w:rPr>
              <w:t>，不外排，不会</w:t>
            </w:r>
            <w:r>
              <w:rPr>
                <w:rFonts w:cs="Times New Roman"/>
              </w:rPr>
              <w:t>对周围水环境产生影响。</w:t>
            </w:r>
          </w:p>
          <w:p>
            <w:pPr>
              <w:pStyle w:val="86"/>
              <w:ind w:firstLine="480"/>
              <w:rPr>
                <w:rFonts w:cs="Times New Roman"/>
              </w:rPr>
            </w:pPr>
            <w:r>
              <w:rPr>
                <w:rFonts w:cs="Times New Roman"/>
              </w:rPr>
              <w:t>保德首站</w:t>
            </w:r>
            <w:r>
              <w:rPr>
                <w:rFonts w:hint="eastAsia" w:cs="Times New Roman"/>
              </w:rPr>
              <w:t>均不新增工作人员，无新增生活污水产生。</w:t>
            </w:r>
          </w:p>
          <w:p>
            <w:pPr>
              <w:pStyle w:val="26"/>
              <w:spacing w:after="0" w:line="460" w:lineRule="exact"/>
              <w:ind w:left="0" w:leftChars="0" w:firstLine="480" w:firstLineChars="200"/>
              <w:rPr>
                <w:color w:val="000000" w:themeColor="text1"/>
                <w:sz w:val="24"/>
                <w:szCs w:val="24"/>
              </w:rPr>
            </w:pPr>
            <w:r>
              <w:rPr>
                <w:color w:val="000000" w:themeColor="text1"/>
                <w:sz w:val="24"/>
                <w:szCs w:val="24"/>
              </w:rPr>
              <w:t>（3）噪声环境影响分析</w:t>
            </w:r>
          </w:p>
          <w:p>
            <w:pPr>
              <w:pStyle w:val="86"/>
              <w:ind w:firstLine="480"/>
              <w:rPr>
                <w:rFonts w:cs="Times New Roman"/>
              </w:rPr>
            </w:pPr>
            <w:r>
              <w:rPr>
                <w:rFonts w:cs="Times New Roman"/>
              </w:rPr>
              <w:t>本项目在正常生产过程中输气站内的过滤、</w:t>
            </w:r>
            <w:r>
              <w:rPr>
                <w:rFonts w:hint="eastAsia" w:cs="Times New Roman"/>
              </w:rPr>
              <w:t>调压计</w:t>
            </w:r>
            <w:r>
              <w:rPr>
                <w:rFonts w:cs="Times New Roman"/>
              </w:rPr>
              <w:t>等节流部件会产生噪声。调压阀门均置于室内，其产生的噪声对外环境影响很小；超越安全阀门由于放空频率很低，每年1-2次，只采取绿化措施降噪即可。采取措施后，不会对站场周围的声环境产生明显影响。</w:t>
            </w:r>
          </w:p>
          <w:p>
            <w:pPr>
              <w:pStyle w:val="86"/>
              <w:ind w:firstLine="480"/>
              <w:rPr>
                <w:rFonts w:cs="Times New Roman"/>
              </w:rPr>
            </w:pPr>
            <w:r>
              <w:rPr>
                <w:rFonts w:cs="Times New Roman"/>
              </w:rPr>
              <w:t>本项目噪声影响主要为保德首站新增的调压计产生的噪声。</w:t>
            </w:r>
            <w:r>
              <w:rPr>
                <w:rFonts w:hint="eastAsia" w:cs="Times New Roman"/>
              </w:rPr>
              <w:t>本项目采用稳定性能较高的调压设备后运行声压级可降约为65dB（A）。</w:t>
            </w:r>
          </w:p>
          <w:p>
            <w:pPr>
              <w:pStyle w:val="86"/>
              <w:ind w:firstLine="480"/>
              <w:rPr>
                <w:rFonts w:cs="Times New Roman"/>
                <w:color w:val="000000" w:themeColor="text1"/>
              </w:rPr>
            </w:pPr>
            <w:r>
              <w:rPr>
                <w:rFonts w:cs="Times New Roman"/>
              </w:rPr>
              <w:t>本项目</w:t>
            </w:r>
            <w:r>
              <w:rPr>
                <w:rFonts w:hint="eastAsia" w:cs="Times New Roman"/>
              </w:rPr>
              <w:t>在站场运营期间</w:t>
            </w:r>
            <w:r>
              <w:rPr>
                <w:rFonts w:cs="Times New Roman"/>
              </w:rPr>
              <w:t>对</w:t>
            </w:r>
            <w:r>
              <w:rPr>
                <w:rFonts w:hint="eastAsia" w:cs="Times New Roman"/>
              </w:rPr>
              <w:t>站场</w:t>
            </w:r>
            <w:r>
              <w:rPr>
                <w:rFonts w:cs="Times New Roman"/>
              </w:rPr>
              <w:t>进行了声环境现状监测，根据监测结果可知，声环境质量良好</w:t>
            </w:r>
            <w:r>
              <w:rPr>
                <w:rFonts w:hint="eastAsia" w:cs="Times New Roman"/>
              </w:rPr>
              <w:t>。</w:t>
            </w:r>
            <w:r>
              <w:rPr>
                <w:rFonts w:cs="Times New Roman"/>
              </w:rPr>
              <w:t>且根据与建设单位了解，天然气站内的调压设备均采用优质装置，因此新增设备对声环境影响不大</w:t>
            </w:r>
            <w:r>
              <w:rPr>
                <w:rFonts w:hint="eastAsia" w:cs="Times New Roman"/>
              </w:rPr>
              <w:t>。</w:t>
            </w:r>
            <w:r>
              <w:rPr>
                <w:rFonts w:cs="Times New Roman"/>
              </w:rPr>
              <w:t>在将来实际运行时采用</w:t>
            </w:r>
            <w:r>
              <w:rPr>
                <w:rFonts w:hint="eastAsia" w:cs="Times New Roman"/>
              </w:rPr>
              <w:t>环评提出的治理措施</w:t>
            </w:r>
            <w:r>
              <w:rPr>
                <w:rFonts w:cs="Times New Roman"/>
              </w:rPr>
              <w:t>，</w:t>
            </w:r>
            <w:r>
              <w:rPr>
                <w:rFonts w:hint="eastAsia" w:cs="Times New Roman"/>
              </w:rPr>
              <w:t>并注意设备的维修和保养，同时经站场边界绿化阻隔。站场噪声能够做到达标排放，</w:t>
            </w:r>
            <w:r>
              <w:rPr>
                <w:rFonts w:cs="Times New Roman"/>
              </w:rPr>
              <w:t>对周围声环境</w:t>
            </w:r>
            <w:r>
              <w:rPr>
                <w:rFonts w:hint="eastAsia" w:cs="Times New Roman"/>
              </w:rPr>
              <w:t>和村庄敏感点影响均较小。</w:t>
            </w:r>
          </w:p>
          <w:p>
            <w:pPr>
              <w:pStyle w:val="26"/>
              <w:spacing w:after="0" w:line="460" w:lineRule="exact"/>
              <w:ind w:left="0" w:leftChars="0" w:firstLine="480" w:firstLineChars="200"/>
              <w:rPr>
                <w:sz w:val="24"/>
                <w:szCs w:val="24"/>
              </w:rPr>
            </w:pPr>
            <w:r>
              <w:rPr>
                <w:sz w:val="24"/>
                <w:szCs w:val="24"/>
              </w:rPr>
              <w:t>（4）固体废弃物影响分析</w:t>
            </w:r>
          </w:p>
          <w:p>
            <w:pPr>
              <w:pStyle w:val="86"/>
              <w:ind w:firstLine="480"/>
              <w:rPr>
                <w:rFonts w:cs="Times New Roman"/>
                <w:color w:val="000000" w:themeColor="text1"/>
              </w:rPr>
            </w:pPr>
            <w:r>
              <w:rPr>
                <w:rFonts w:cs="Times New Roman"/>
                <w:color w:val="000000" w:themeColor="text1"/>
              </w:rPr>
              <w:t>运行期的固体废物主要是站场收球清管及过滤分离时产生的废渣等。</w:t>
            </w:r>
          </w:p>
          <w:p>
            <w:pPr>
              <w:pStyle w:val="86"/>
              <w:ind w:firstLine="480"/>
              <w:rPr>
                <w:rFonts w:cs="Times New Roman"/>
                <w:color w:val="000000" w:themeColor="text1"/>
              </w:rPr>
            </w:pPr>
            <w:r>
              <w:rPr>
                <w:rFonts w:cs="Times New Roman"/>
                <w:color w:val="000000" w:themeColor="text1"/>
              </w:rPr>
              <w:t>站场收球清管时产生的废渣，为一般固体废弃物，清管废渣产生量以1.75kg/km计，主要成分为粉尘、氧化铁粉末。清管作业以一年2次计。则本项目清管废渣产生量为57kg/年；检修作业时，分离器有约1kg的检修废渣产生，主要成分为粉尘、氧化铁粉末。检修作业以一年2次计。则本项目分离废渣产生量为2kg；清管、分离废渣均集中收集，可外售综合利用于炼铁。</w:t>
            </w:r>
          </w:p>
          <w:p>
            <w:pPr>
              <w:pStyle w:val="86"/>
              <w:ind w:firstLine="480"/>
              <w:rPr>
                <w:rFonts w:cs="Times New Roman"/>
              </w:rPr>
            </w:pPr>
            <w:r>
              <w:rPr>
                <w:rFonts w:cs="Times New Roman"/>
              </w:rPr>
              <w:t>检修时产生的废油，约0.02kg/次。则一年约0.04 kg废油产生。检修时产生的废油，均利用站场原有排污池，将该废油先暂存于排污池内，随产随清</w:t>
            </w:r>
            <w:r>
              <w:rPr>
                <w:rFonts w:hint="eastAsia" w:cs="Times New Roman"/>
              </w:rPr>
              <w:t>。根据国家危险废物名录，本项目排放废油为HW09，</w:t>
            </w:r>
            <w:r>
              <w:rPr>
                <w:rFonts w:cs="Times New Roman"/>
              </w:rPr>
              <w:t>由</w:t>
            </w:r>
            <w:r>
              <w:rPr>
                <w:rFonts w:hint="eastAsia" w:cs="Times New Roman"/>
              </w:rPr>
              <w:t>天然气公司危废协议处置单位山西松兰环保科技有限公司</w:t>
            </w:r>
            <w:r>
              <w:rPr>
                <w:rFonts w:cs="Times New Roman"/>
              </w:rPr>
              <w:t>进行合理处置。</w:t>
            </w:r>
          </w:p>
          <w:p>
            <w:pPr>
              <w:pStyle w:val="86"/>
              <w:ind w:firstLine="480"/>
              <w:rPr>
                <w:rFonts w:cs="Times New Roman"/>
                <w:color w:val="FF0000"/>
              </w:rPr>
            </w:pPr>
            <w:r>
              <w:rPr>
                <w:rFonts w:hint="eastAsia" w:cs="Times New Roman"/>
                <w:color w:val="000000" w:themeColor="text1"/>
              </w:rPr>
              <w:t>综上所述，</w:t>
            </w:r>
            <w:r>
              <w:rPr>
                <w:rFonts w:cs="Times New Roman"/>
                <w:color w:val="000000" w:themeColor="text1"/>
              </w:rPr>
              <w:t>运营期固废均能合理处置，对周围环境影响较小。</w:t>
            </w:r>
          </w:p>
          <w:p>
            <w:pPr>
              <w:pStyle w:val="26"/>
              <w:spacing w:after="0" w:line="460" w:lineRule="exact"/>
              <w:ind w:left="0" w:leftChars="0" w:firstLine="480" w:firstLineChars="200"/>
              <w:rPr>
                <w:sz w:val="24"/>
                <w:szCs w:val="24"/>
              </w:rPr>
            </w:pPr>
            <w:r>
              <w:rPr>
                <w:sz w:val="24"/>
                <w:szCs w:val="24"/>
              </w:rPr>
              <w:t>（5）事故影响分析</w:t>
            </w:r>
          </w:p>
          <w:p>
            <w:pPr>
              <w:pStyle w:val="86"/>
              <w:ind w:firstLine="480"/>
              <w:rPr>
                <w:rFonts w:cs="Times New Roman"/>
                <w:color w:val="FF0000"/>
                <w:szCs w:val="24"/>
              </w:rPr>
            </w:pPr>
            <w:r>
              <w:rPr>
                <w:rFonts w:cs="Times New Roman"/>
              </w:rPr>
              <w:t>事故是指因工程质量低劣</w:t>
            </w:r>
            <w:r>
              <w:rPr>
                <w:rFonts w:hint="eastAsia" w:cs="Times New Roman"/>
              </w:rPr>
              <w:t>，</w:t>
            </w:r>
            <w:r>
              <w:rPr>
                <w:rFonts w:cs="Times New Roman"/>
              </w:rPr>
              <w:t>管理方面的疏忽、自然因素或人为的破坏的因素造成输气管道的破损、断裂</w:t>
            </w:r>
            <w:r>
              <w:rPr>
                <w:rFonts w:hint="eastAsia" w:cs="Times New Roman"/>
              </w:rPr>
              <w:t>，</w:t>
            </w:r>
            <w:r>
              <w:rPr>
                <w:rFonts w:cs="Times New Roman"/>
              </w:rPr>
              <w:t>致使天然气泄漏造成火灾</w:t>
            </w:r>
            <w:r>
              <w:rPr>
                <w:rFonts w:hint="eastAsia" w:cs="Times New Roman"/>
              </w:rPr>
              <w:t>，</w:t>
            </w:r>
            <w:r>
              <w:rPr>
                <w:rFonts w:cs="Times New Roman"/>
              </w:rPr>
              <w:t>事故发生的可能性是存在的</w:t>
            </w:r>
            <w:r>
              <w:rPr>
                <w:rFonts w:hint="eastAsia" w:cs="Times New Roman"/>
              </w:rPr>
              <w:t>，</w:t>
            </w:r>
            <w:r>
              <w:rPr>
                <w:rFonts w:cs="Times New Roman"/>
              </w:rPr>
              <w:t>但只要做好预防工作</w:t>
            </w:r>
            <w:r>
              <w:rPr>
                <w:rFonts w:hint="eastAsia" w:cs="Times New Roman"/>
              </w:rPr>
              <w:t>，</w:t>
            </w:r>
            <w:r>
              <w:rPr>
                <w:rFonts w:cs="Times New Roman"/>
              </w:rPr>
              <w:t>事故的发生概率可以降低</w:t>
            </w:r>
            <w:r>
              <w:rPr>
                <w:rFonts w:hint="eastAsia" w:cs="Times New Roman"/>
              </w:rPr>
              <w:t>，</w:t>
            </w:r>
            <w:r>
              <w:rPr>
                <w:rFonts w:cs="Times New Roman"/>
              </w:rPr>
              <w:t>造成的损失可以减少。由于天然气的主要成分是甲烷</w:t>
            </w:r>
            <w:r>
              <w:rPr>
                <w:rFonts w:hint="eastAsia" w:cs="Times New Roman"/>
              </w:rPr>
              <w:t>，</w:t>
            </w:r>
            <w:r>
              <w:rPr>
                <w:rFonts w:cs="Times New Roman"/>
              </w:rPr>
              <w:t>如发生泄漏会很快扩散</w:t>
            </w:r>
            <w:r>
              <w:rPr>
                <w:rFonts w:hint="eastAsia" w:cs="Times New Roman"/>
              </w:rPr>
              <w:t>，</w:t>
            </w:r>
            <w:r>
              <w:rPr>
                <w:rFonts w:cs="Times New Roman"/>
              </w:rPr>
              <w:t>无明火不会发生火灾</w:t>
            </w:r>
            <w:r>
              <w:rPr>
                <w:rFonts w:hint="eastAsia" w:cs="Times New Roman"/>
              </w:rPr>
              <w:t>，</w:t>
            </w:r>
            <w:r>
              <w:rPr>
                <w:rFonts w:cs="Times New Roman"/>
              </w:rPr>
              <w:t>不会对生态环境造成危害</w:t>
            </w:r>
            <w:r>
              <w:rPr>
                <w:rFonts w:hint="eastAsia" w:cs="Times New Roman"/>
              </w:rPr>
              <w:t>，</w:t>
            </w:r>
            <w:r>
              <w:rPr>
                <w:rFonts w:cs="Times New Roman"/>
              </w:rPr>
              <w:t>如发生火灾</w:t>
            </w:r>
            <w:r>
              <w:rPr>
                <w:rFonts w:hint="eastAsia" w:cs="Times New Roman"/>
              </w:rPr>
              <w:t>，</w:t>
            </w:r>
            <w:r>
              <w:rPr>
                <w:rFonts w:cs="Times New Roman"/>
              </w:rPr>
              <w:t>进而引发爆炸</w:t>
            </w:r>
            <w:r>
              <w:rPr>
                <w:rFonts w:hint="eastAsia" w:cs="Times New Roman"/>
              </w:rPr>
              <w:t>，</w:t>
            </w:r>
            <w:r>
              <w:rPr>
                <w:rFonts w:cs="Times New Roman"/>
              </w:rPr>
              <w:t>对生态环境影响是巨大的</w:t>
            </w:r>
            <w:r>
              <w:rPr>
                <w:rFonts w:hint="eastAsia" w:cs="Times New Roman"/>
              </w:rPr>
              <w:t>，</w:t>
            </w:r>
            <w:r>
              <w:rPr>
                <w:rFonts w:cs="Times New Roman"/>
              </w:rPr>
              <w:t>甚至是毁灭性的。因此必须严格执行施工设计规范,加强运营期管理</w:t>
            </w:r>
            <w:r>
              <w:rPr>
                <w:rFonts w:hint="eastAsia" w:cs="Times New Roman"/>
              </w:rPr>
              <w:t>，</w:t>
            </w:r>
            <w:r>
              <w:rPr>
                <w:rFonts w:cs="Times New Roman"/>
              </w:rPr>
              <w:t>杜绝事故的发生。</w:t>
            </w:r>
          </w:p>
          <w:p>
            <w:pPr>
              <w:spacing w:line="460" w:lineRule="exact"/>
              <w:ind w:firstLine="480" w:firstLineChars="200"/>
              <w:rPr>
                <w:sz w:val="24"/>
              </w:rPr>
            </w:pPr>
            <w:r>
              <w:rPr>
                <w:sz w:val="24"/>
              </w:rPr>
              <w:t>（6）结论：</w:t>
            </w:r>
          </w:p>
          <w:p>
            <w:pPr>
              <w:pStyle w:val="86"/>
              <w:ind w:firstLine="480"/>
              <w:rPr>
                <w:rFonts w:cs="Times New Roman"/>
              </w:rPr>
            </w:pPr>
            <w:r>
              <w:rPr>
                <w:rFonts w:cs="Times New Roman"/>
              </w:rPr>
              <w:t>1）产业政策</w:t>
            </w:r>
          </w:p>
          <w:p>
            <w:pPr>
              <w:pStyle w:val="86"/>
              <w:ind w:firstLine="480"/>
              <w:rPr>
                <w:rFonts w:cs="Times New Roman"/>
              </w:rPr>
            </w:pPr>
            <w:r>
              <w:rPr>
                <w:rFonts w:cs="Times New Roman"/>
              </w:rPr>
              <w:t>根据国家发展改革委《产业结构调整指导目录（2011年本）》（2013年修改），本项目属于天然气管道输送设施及网络建设，属于鼓励类项目，符合产业政策的要求。</w:t>
            </w:r>
          </w:p>
          <w:p>
            <w:pPr>
              <w:pStyle w:val="86"/>
              <w:ind w:firstLine="480"/>
              <w:rPr>
                <w:rFonts w:cs="Times New Roman"/>
                <w:color w:val="FF0000"/>
              </w:rPr>
            </w:pPr>
            <w:r>
              <w:rPr>
                <w:rFonts w:cs="Times New Roman"/>
              </w:rPr>
              <w:t>根据《国务院关于印发大气污染防治行动计划的通知》国发[2013]37号中要求“加快清洁能源替代利用，加大天然气、煤层气供应。优化天然气使用方式，新增天然气应优先保障居民生活或用于替代燃煤”，本项目为天然气利用项目，符合国家大气污染防治行动计划中要求。</w:t>
            </w:r>
          </w:p>
          <w:p>
            <w:pPr>
              <w:pStyle w:val="86"/>
              <w:ind w:firstLine="480"/>
              <w:rPr>
                <w:rFonts w:cs="Times New Roman"/>
              </w:rPr>
            </w:pPr>
            <w:r>
              <w:rPr>
                <w:rFonts w:cs="Times New Roman"/>
              </w:rPr>
              <w:t>2）项目选址</w:t>
            </w:r>
          </w:p>
          <w:p>
            <w:pPr>
              <w:pStyle w:val="86"/>
              <w:ind w:firstLine="480"/>
              <w:rPr>
                <w:rFonts w:cs="Times New Roman"/>
              </w:rPr>
            </w:pPr>
            <w:r>
              <w:rPr>
                <w:rFonts w:hint="eastAsia" w:cs="Times New Roman"/>
              </w:rPr>
              <w:t>本项目建设符合保德县县域战略发展方向、空间布局要求，项目建设对县城中心城区未来的用地拓展基本无影响。同时，对比管线穿越的杨家湾镇的镇域总体规划，其不在镇域规划建成区范围内，对其未来城镇用地拓展基本无影响；考虑项目占地为临时占地，同时在实施相应的生态防护措施基础上，不违背杨家湾镇镇域建设空间管制规划要求。因此，本项目管线选址总体上是符合保德县城市总体规划及相关规划要求的。</w:t>
            </w:r>
          </w:p>
          <w:p>
            <w:pPr>
              <w:pStyle w:val="86"/>
              <w:ind w:firstLine="480"/>
              <w:rPr>
                <w:rFonts w:cs="Times New Roman"/>
              </w:rPr>
            </w:pPr>
            <w:r>
              <w:rPr>
                <w:rFonts w:cs="Times New Roman"/>
              </w:rPr>
              <w:t>本项目为管线项目，在实施作业后，采取生态恢复进行植树、植草等措施后，对当地土壤侵蚀、水土流失等产生的影响很小，并且项目实施后可以使沿线工业及农业燃料实现清洁化，减少污染物排放，故项目符合沿线生态功能及生态经济区划的要求。</w:t>
            </w:r>
          </w:p>
          <w:p>
            <w:pPr>
              <w:pStyle w:val="86"/>
              <w:ind w:firstLine="480"/>
              <w:rPr>
                <w:rFonts w:cs="Times New Roman"/>
              </w:rPr>
            </w:pPr>
            <w:r>
              <w:rPr>
                <w:rFonts w:cs="Times New Roman"/>
              </w:rPr>
              <w:t>本项目工程占地对占用的林地等评价要求建设单位应实行占用耕地补偿制度，按照</w:t>
            </w:r>
            <w:r>
              <w:rPr>
                <w:rFonts w:hint="eastAsia" w:cs="Times New Roman"/>
              </w:rPr>
              <w:t>“</w:t>
            </w:r>
            <w:r>
              <w:rPr>
                <w:rFonts w:cs="Times New Roman"/>
              </w:rPr>
              <w:t>占多少，补多少</w:t>
            </w:r>
            <w:r>
              <w:rPr>
                <w:rFonts w:hint="eastAsia" w:cs="Times New Roman"/>
              </w:rPr>
              <w:t>”</w:t>
            </w:r>
            <w:r>
              <w:rPr>
                <w:rFonts w:cs="Times New Roman"/>
              </w:rPr>
              <w:t>的原则，缴纳耕地开垦费，专款用于开垦新的土地，故项目符合土地利用的相关规定。</w:t>
            </w:r>
          </w:p>
          <w:p>
            <w:pPr>
              <w:pStyle w:val="86"/>
              <w:ind w:firstLine="480"/>
              <w:rPr>
                <w:rFonts w:cs="Times New Roman"/>
              </w:rPr>
            </w:pPr>
            <w:r>
              <w:rPr>
                <w:rFonts w:cs="Times New Roman"/>
              </w:rPr>
              <w:t>本项目选址及选线未穿越自然保护区、风景名胜区、饮用水水源保护区等环境敏感目标。</w:t>
            </w:r>
          </w:p>
          <w:p>
            <w:pPr>
              <w:pStyle w:val="86"/>
              <w:ind w:firstLine="480"/>
              <w:rPr>
                <w:bCs/>
              </w:rPr>
            </w:pPr>
            <w:r>
              <w:rPr>
                <w:rFonts w:cs="Times New Roman"/>
              </w:rPr>
              <w:t>综上</w:t>
            </w:r>
            <w:r>
              <w:rPr>
                <w:rFonts w:hint="eastAsia" w:cs="Times New Roman"/>
              </w:rPr>
              <w:t>所述</w:t>
            </w:r>
            <w:r>
              <w:rPr>
                <w:rFonts w:cs="Times New Roman"/>
              </w:rPr>
              <w:t>，本项目选址可行。</w:t>
            </w:r>
          </w:p>
          <w:p>
            <w:pPr>
              <w:pStyle w:val="86"/>
              <w:ind w:firstLine="480"/>
              <w:rPr>
                <w:rFonts w:cs="Times New Roman"/>
              </w:rPr>
            </w:pPr>
            <w:r>
              <w:rPr>
                <w:rFonts w:cs="Times New Roman"/>
              </w:rPr>
              <w:t>3）清洁生产</w:t>
            </w:r>
          </w:p>
          <w:p>
            <w:pPr>
              <w:pStyle w:val="86"/>
              <w:ind w:firstLine="480"/>
              <w:rPr>
                <w:rFonts w:cs="Times New Roman"/>
              </w:rPr>
            </w:pPr>
            <w:r>
              <w:rPr>
                <w:rFonts w:cs="Times New Roman"/>
              </w:rPr>
              <w:t>天然气对煤的代替可以改变当地燃料结构，从源头上减少污染物的产生。因此，本项目符合清洁生产的要求。</w:t>
            </w:r>
          </w:p>
          <w:p>
            <w:pPr>
              <w:pStyle w:val="86"/>
              <w:ind w:firstLine="480"/>
              <w:rPr>
                <w:rFonts w:cs="Times New Roman"/>
              </w:rPr>
            </w:pPr>
            <w:r>
              <w:rPr>
                <w:rFonts w:cs="Times New Roman"/>
              </w:rPr>
              <w:t>4）达标排放</w:t>
            </w:r>
          </w:p>
          <w:p>
            <w:pPr>
              <w:pStyle w:val="86"/>
              <w:ind w:firstLine="480"/>
              <w:rPr>
                <w:rFonts w:cs="Times New Roman"/>
              </w:rPr>
            </w:pPr>
            <w:r>
              <w:rPr>
                <w:rFonts w:cs="Times New Roman"/>
              </w:rPr>
              <w:t>针对工程施工期和营运期的各种环境影响，评价提出了严格的污染防治措施，在采取评价要求的措施后，可实现污染物达标排放。</w:t>
            </w:r>
          </w:p>
          <w:p>
            <w:pPr>
              <w:pStyle w:val="86"/>
              <w:ind w:firstLine="480"/>
              <w:rPr>
                <w:rFonts w:cs="Times New Roman"/>
              </w:rPr>
            </w:pPr>
            <w:r>
              <w:rPr>
                <w:rFonts w:cs="Times New Roman"/>
              </w:rPr>
              <w:t>5）总量控制</w:t>
            </w:r>
          </w:p>
          <w:p>
            <w:pPr>
              <w:pStyle w:val="86"/>
              <w:ind w:firstLine="480"/>
              <w:rPr>
                <w:rFonts w:cs="Times New Roman"/>
              </w:rPr>
            </w:pPr>
            <w:r>
              <w:rPr>
                <w:rFonts w:cs="Times New Roman"/>
              </w:rPr>
              <w:t>本工程无总量控制指标。</w:t>
            </w:r>
          </w:p>
          <w:p>
            <w:pPr>
              <w:pStyle w:val="86"/>
              <w:ind w:firstLine="480"/>
              <w:rPr>
                <w:rFonts w:cs="Times New Roman"/>
              </w:rPr>
            </w:pPr>
            <w:r>
              <w:rPr>
                <w:rFonts w:cs="Times New Roman"/>
              </w:rPr>
              <w:t>6）对区域环境质量的影响</w:t>
            </w:r>
          </w:p>
          <w:p>
            <w:pPr>
              <w:pStyle w:val="86"/>
              <w:ind w:firstLine="480"/>
              <w:rPr>
                <w:bCs/>
                <w:spacing w:val="4"/>
                <w:szCs w:val="24"/>
              </w:rPr>
            </w:pPr>
            <w:r>
              <w:rPr>
                <w:rFonts w:cs="Times New Roman"/>
                <w:szCs w:val="24"/>
              </w:rPr>
              <w:t>本工程采取环评要求的污染治理措施后，施工期间对环境的影响很小，并且随着施工期的结束，其对周围环境的影响将逐渐消失；项目建成后，各县的燃料结构将发生变化，用天然气或煤层气代替目前的煤炭，由于天然气或煤层气为洁净能源，燃烧过程中产生的污染物很少，使当地TSP、SO</w:t>
            </w:r>
            <w:r>
              <w:rPr>
                <w:rFonts w:cs="Times New Roman"/>
                <w:szCs w:val="24"/>
                <w:vertAlign w:val="subscript"/>
              </w:rPr>
              <w:t>2</w:t>
            </w:r>
            <w:r>
              <w:rPr>
                <w:rFonts w:cs="Times New Roman"/>
                <w:szCs w:val="24"/>
              </w:rPr>
              <w:t>等污染物排放量大大减少，对区域环境空气质量有明显改善作用。</w:t>
            </w:r>
          </w:p>
          <w:p>
            <w:pPr>
              <w:pStyle w:val="86"/>
              <w:ind w:firstLine="480"/>
              <w:rPr>
                <w:rFonts w:cs="Times New Roman"/>
              </w:rPr>
            </w:pPr>
            <w:r>
              <w:rPr>
                <w:rFonts w:cs="Times New Roman"/>
              </w:rPr>
              <w:t>综上所述，保德燃气（煤层气）热电联产项目供气专线工程符合国家产业政策，</w:t>
            </w:r>
            <w:r>
              <w:rPr>
                <w:rFonts w:hint="eastAsia" w:cs="Times New Roman"/>
              </w:rPr>
              <w:t>周围环境不存在明显的制约条件，项目施工期和营运期设施设备符合清洁生产要求，在严格落实本次环评规定的各项污染控制、生态恢复措施，对周围环境的影响较小，环境风险在可控范围。</w:t>
            </w:r>
            <w:r>
              <w:rPr>
                <w:rFonts w:cs="Times New Roman"/>
              </w:rPr>
              <w:t>评价认为本项目建设从环保角度可行。</w:t>
            </w:r>
          </w:p>
          <w:p>
            <w:pPr>
              <w:pStyle w:val="86"/>
              <w:ind w:firstLine="0" w:firstLineChars="0"/>
              <w:rPr>
                <w:rFonts w:cs="Times New Roman"/>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tcPr>
          <w:p>
            <w:pPr>
              <w:spacing w:line="460" w:lineRule="exact"/>
              <w:rPr>
                <w:b/>
                <w:sz w:val="24"/>
              </w:rPr>
            </w:pPr>
            <w:r>
              <w:rPr>
                <w:b/>
                <w:sz w:val="24"/>
              </w:rPr>
              <w:t>环境保护行政主管部门的批复意见</w:t>
            </w:r>
          </w:p>
          <w:p>
            <w:pPr>
              <w:spacing w:line="460" w:lineRule="exact"/>
              <w:ind w:firstLine="480" w:firstLineChars="200"/>
              <w:rPr>
                <w:sz w:val="24"/>
              </w:rPr>
            </w:pPr>
            <w:r>
              <w:rPr>
                <w:sz w:val="24"/>
              </w:rPr>
              <w:t>环评批复</w:t>
            </w:r>
          </w:p>
          <w:p>
            <w:pPr>
              <w:spacing w:line="460" w:lineRule="exact"/>
              <w:ind w:firstLine="480" w:firstLineChars="200"/>
              <w:rPr>
                <w:sz w:val="24"/>
              </w:rPr>
            </w:pPr>
            <w:r>
              <w:rPr>
                <w:sz w:val="24"/>
              </w:rPr>
              <w:t>山西省环境保护厅于201</w:t>
            </w:r>
            <w:r>
              <w:rPr>
                <w:rFonts w:hint="eastAsia"/>
                <w:sz w:val="24"/>
              </w:rPr>
              <w:t>6</w:t>
            </w:r>
            <w:r>
              <w:rPr>
                <w:sz w:val="24"/>
              </w:rPr>
              <w:t>年</w:t>
            </w:r>
            <w:r>
              <w:rPr>
                <w:rFonts w:hint="eastAsia"/>
                <w:sz w:val="24"/>
              </w:rPr>
              <w:t>6</w:t>
            </w:r>
            <w:r>
              <w:rPr>
                <w:sz w:val="24"/>
              </w:rPr>
              <w:t>月</w:t>
            </w:r>
            <w:r>
              <w:rPr>
                <w:rFonts w:hint="eastAsia"/>
                <w:sz w:val="24"/>
              </w:rPr>
              <w:t>28</w:t>
            </w:r>
            <w:r>
              <w:rPr>
                <w:sz w:val="24"/>
              </w:rPr>
              <w:t>日对本项目环境影响报告表的批复意见：</w:t>
            </w:r>
          </w:p>
          <w:p>
            <w:pPr>
              <w:spacing w:line="460" w:lineRule="exact"/>
              <w:ind w:firstLine="480" w:firstLineChars="200"/>
              <w:rPr>
                <w:sz w:val="24"/>
              </w:rPr>
            </w:pPr>
            <w:r>
              <w:rPr>
                <w:sz w:val="24"/>
              </w:rPr>
              <w:t>你</w:t>
            </w:r>
            <w:r>
              <w:rPr>
                <w:rFonts w:hint="eastAsia"/>
                <w:sz w:val="24"/>
              </w:rPr>
              <w:t>公司</w:t>
            </w:r>
            <w:r>
              <w:rPr>
                <w:sz w:val="24"/>
              </w:rPr>
              <w:t>报送的《</w:t>
            </w:r>
            <w:r>
              <w:rPr>
                <w:rFonts w:hint="eastAsia"/>
                <w:sz w:val="24"/>
              </w:rPr>
              <w:t>关于对保德燃气（煤层气）热电联产项目供气专线工程</w:t>
            </w:r>
            <w:r>
              <w:rPr>
                <w:sz w:val="24"/>
              </w:rPr>
              <w:t>环境影响报告表（以下简称</w:t>
            </w:r>
            <w:r>
              <w:rPr>
                <w:rFonts w:hint="eastAsia"/>
                <w:sz w:val="24"/>
              </w:rPr>
              <w:t>＜</w:t>
            </w:r>
            <w:r>
              <w:rPr>
                <w:sz w:val="24"/>
              </w:rPr>
              <w:t>报告表</w:t>
            </w:r>
            <w:r>
              <w:rPr>
                <w:rFonts w:hint="eastAsia"/>
                <w:sz w:val="24"/>
              </w:rPr>
              <w:t>＞</w:t>
            </w:r>
            <w:r>
              <w:rPr>
                <w:sz w:val="24"/>
              </w:rPr>
              <w:t>）</w:t>
            </w:r>
            <w:r>
              <w:rPr>
                <w:rFonts w:hint="eastAsia"/>
                <w:sz w:val="24"/>
              </w:rPr>
              <w:t>进行审批的请示</w:t>
            </w:r>
            <w:r>
              <w:rPr>
                <w:sz w:val="24"/>
              </w:rPr>
              <w:t>》</w:t>
            </w:r>
            <w:r>
              <w:rPr>
                <w:rFonts w:hint="eastAsia"/>
                <w:sz w:val="24"/>
              </w:rPr>
              <w:t>（晋天燃气[2016]137号）及相关文件收悉。经研究，批复如下：</w:t>
            </w:r>
          </w:p>
          <w:p>
            <w:pPr>
              <w:spacing w:line="460" w:lineRule="exact"/>
              <w:ind w:firstLine="480" w:firstLineChars="200"/>
              <w:rPr>
                <w:sz w:val="24"/>
              </w:rPr>
            </w:pPr>
            <w:r>
              <w:rPr>
                <w:sz w:val="24"/>
              </w:rPr>
              <w:t>一、</w:t>
            </w:r>
            <w:r>
              <w:rPr>
                <w:rFonts w:hint="eastAsia"/>
                <w:sz w:val="24"/>
              </w:rPr>
              <w:t>依据《报告表》内容，拟建工程起于山西天然气有限公司已建的保德县杨家湾镇保德首站，经过保德县崔家墕村、前会村以及故城村，止于保德县杨家湾镇故城村西侧的保德煤层气热电厂，全长约8km，设计压力6.3MPa，同时对现有保德首站进行扩建。项目总投资2194.5万元，其中环保投资39万元。</w:t>
            </w:r>
          </w:p>
          <w:p>
            <w:pPr>
              <w:spacing w:line="460" w:lineRule="exact"/>
              <w:ind w:firstLine="480" w:firstLineChars="200"/>
              <w:rPr>
                <w:sz w:val="24"/>
              </w:rPr>
            </w:pPr>
            <w:r>
              <w:rPr>
                <w:rFonts w:hint="eastAsia"/>
                <w:sz w:val="24"/>
              </w:rPr>
              <w:t>该项目符合国家产业政策，符合山西省燃气管网建设规划和当地规划要求。依据《报告表》结论，省环境保护技术评估中心关于《报告表》的评估报告（晋环咨[2016]3号）和保德县环保局初审意见（保环函[2016]24号），在全面落实《报告表》提出的污染防治和生态保护措施的前提下，不利环境影响可得到减缓和控制，我厅同意《报告表》所列建设项目的性质、规模、选址选线和环境保护措施。</w:t>
            </w:r>
          </w:p>
          <w:p>
            <w:pPr>
              <w:spacing w:line="460" w:lineRule="exact"/>
              <w:ind w:firstLine="480" w:firstLineChars="200"/>
              <w:rPr>
                <w:sz w:val="24"/>
              </w:rPr>
            </w:pPr>
            <w:r>
              <w:rPr>
                <w:rFonts w:hint="eastAsia"/>
                <w:sz w:val="24"/>
              </w:rPr>
              <w:t>二、在项目建设和运行管理中，应认真落实《报告表》提出的各项环保对策措施，重点做好以下工作：</w:t>
            </w:r>
          </w:p>
          <w:p>
            <w:pPr>
              <w:spacing w:line="460" w:lineRule="exact"/>
              <w:ind w:firstLine="480" w:firstLineChars="200"/>
              <w:rPr>
                <w:sz w:val="24"/>
              </w:rPr>
            </w:pPr>
            <w:r>
              <w:rPr>
                <w:rFonts w:hint="eastAsia"/>
                <w:sz w:val="24"/>
              </w:rPr>
              <w:t>（一）加强施工期环境管理。进一步优化管道选线，避让植被良好区域。施工期严格遵守国家、地方法律法规及有关管理规定。穿越朱家川河施工时，杜绝污水排放和设施漏油等现象，严禁施工废水、油污进入水体或洒落河床。</w:t>
            </w:r>
          </w:p>
          <w:p>
            <w:pPr>
              <w:spacing w:line="460" w:lineRule="exact"/>
              <w:ind w:firstLine="480" w:firstLineChars="200"/>
              <w:rPr>
                <w:sz w:val="24"/>
              </w:rPr>
            </w:pPr>
            <w:r>
              <w:rPr>
                <w:rFonts w:hint="eastAsia"/>
                <w:sz w:val="24"/>
              </w:rPr>
              <w:t>（二）认真落实生态保护措施。严格控制施工作业范围，限制施工人员及施工机械活动范围，减少地表扰动。合理安排施工期，管网开挖应避开雨季，减少水土流失及对植被的破坏。管沟开挖采取分层开挖、分层回填措施，严格控制开挖面和开挖量。开挖过程中产生的弃土石应进行综合利用。穿越农田施工应保留表层耕作土，施工结束后及时恢复原有地貌和功能。</w:t>
            </w:r>
          </w:p>
          <w:p>
            <w:pPr>
              <w:spacing w:line="460" w:lineRule="exact"/>
              <w:ind w:firstLine="480" w:firstLineChars="200"/>
              <w:rPr>
                <w:sz w:val="24"/>
              </w:rPr>
            </w:pPr>
            <w:r>
              <w:rPr>
                <w:rFonts w:hint="eastAsia"/>
                <w:sz w:val="24"/>
              </w:rPr>
              <w:t>（三）落实施工期污染防治措施。采取边界围挡，物料遮盖、场地洒水、运输车辆加盖篷布等措施减少施工扬尘。管沟挖填随挖随用，减少土方存留时间及运输距离，禁止在大风天气进行土方挖填、装卸等作业。穿越朱家川河施工时需设置泥浆收集池，泥浆经沉淀后定期清运。合理安排施工时间，在距离村庄200m范围以内禁止夜间高噪声施工。施工废料应统一收集后外售。</w:t>
            </w:r>
          </w:p>
          <w:p>
            <w:pPr>
              <w:spacing w:line="460" w:lineRule="exact"/>
              <w:ind w:firstLine="480" w:firstLineChars="200"/>
              <w:rPr>
                <w:sz w:val="24"/>
              </w:rPr>
            </w:pPr>
            <w:r>
              <w:rPr>
                <w:rFonts w:hint="eastAsia"/>
                <w:sz w:val="24"/>
              </w:rPr>
              <w:t>（四）落实运营期大气和水污染防治措施。采用先进的生产设备和管理体系，减少超压工况。清管作业、设备检修及系统超压等排放的天然气经原站场的放空火炬点火排放，大气污染物排放须达到《大气污染物综合排放标准》（GB16297-1996）表2中二级标准。保德首站扩建部分站场的检修废水随原污水处理系统进入站场排污池。</w:t>
            </w:r>
          </w:p>
          <w:p>
            <w:pPr>
              <w:spacing w:line="460" w:lineRule="exact"/>
              <w:ind w:firstLine="480" w:firstLineChars="200"/>
              <w:rPr>
                <w:sz w:val="24"/>
              </w:rPr>
            </w:pPr>
            <w:r>
              <w:rPr>
                <w:rFonts w:hint="eastAsia"/>
                <w:sz w:val="24"/>
              </w:rPr>
              <w:t>（五）落实运营期噪声和固体废物污染防治措施。选用低噪声、低振动机械设备和工艺，加强运营期噪声的监测，合理调整降噪措施，确保厂界噪声达标。站场收球清管及过滤分离时产生的废渣等，集中收集后外售综合利用。检修时产生的废油，暂存于站场原有排污池，由有资质的单位进行合理处置。</w:t>
            </w:r>
          </w:p>
          <w:p>
            <w:pPr>
              <w:spacing w:line="460" w:lineRule="exact"/>
              <w:ind w:firstLine="480" w:firstLineChars="200"/>
              <w:rPr>
                <w:sz w:val="24"/>
              </w:rPr>
            </w:pPr>
            <w:r>
              <w:rPr>
                <w:rFonts w:hint="eastAsia"/>
                <w:sz w:val="24"/>
              </w:rPr>
              <w:t>三、项目建设必须严格执行环境保护“三同时”制度。开展施工期环境监理，定期向环境保护主管部门提交环境监理报告。项目建成后，必须按规定申请竣工环境保护验收。经验收合格后，项目方可正式投入运行。</w:t>
            </w:r>
          </w:p>
          <w:p>
            <w:pPr>
              <w:spacing w:line="460" w:lineRule="exact"/>
              <w:ind w:firstLine="480" w:firstLineChars="200"/>
              <w:rPr>
                <w:sz w:val="24"/>
              </w:rPr>
            </w:pPr>
            <w:r>
              <w:rPr>
                <w:rFonts w:hint="eastAsia"/>
                <w:sz w:val="24"/>
              </w:rPr>
              <w:t>四、做好信息公开。在工程施工和运行过程中，应定期发布环境信息，建立畅通的公众参与平台，主动接受社会监督。</w:t>
            </w:r>
          </w:p>
          <w:p>
            <w:pPr>
              <w:spacing w:line="460" w:lineRule="exact"/>
              <w:ind w:firstLine="480" w:firstLineChars="200"/>
              <w:rPr>
                <w:sz w:val="24"/>
              </w:rPr>
            </w:pPr>
            <w:r>
              <w:rPr>
                <w:rFonts w:hint="eastAsia"/>
                <w:sz w:val="24"/>
              </w:rPr>
              <w:t>五、你公司应在收到本批复后20个工作日内，将批准后的《报告表》送保德县环境保护局。我厅委托保德县环境保护局开展该项目的“三同时”监督检查和管理工作。</w:t>
            </w: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ind w:firstLine="480" w:firstLineChars="200"/>
              <w:rPr>
                <w:color w:val="FF0000"/>
                <w:sz w:val="24"/>
              </w:rPr>
            </w:pPr>
          </w:p>
          <w:p>
            <w:pPr>
              <w:spacing w:line="480" w:lineRule="exact"/>
              <w:rPr>
                <w:color w:val="FF0000"/>
                <w:sz w:val="24"/>
              </w:rPr>
            </w:pPr>
          </w:p>
        </w:tc>
      </w:tr>
    </w:tbl>
    <w:p>
      <w:pPr>
        <w:rPr>
          <w:color w:val="FF0000"/>
        </w:rPr>
        <w:sectPr>
          <w:pgSz w:w="11906" w:h="16838"/>
          <w:pgMar w:top="1701" w:right="1304" w:bottom="1134" w:left="1418" w:header="1134" w:footer="992" w:gutter="0"/>
          <w:cols w:space="425" w:num="1"/>
          <w:docGrid w:type="lines" w:linePitch="312" w:charSpace="0"/>
        </w:sectPr>
      </w:pPr>
      <w:bookmarkStart w:id="53" w:name="_Toc328647955"/>
      <w:bookmarkStart w:id="54" w:name="_Toc100119402"/>
      <w:bookmarkStart w:id="55" w:name="_Toc102120473"/>
      <w:bookmarkStart w:id="56" w:name="_Toc102119095"/>
      <w:bookmarkStart w:id="57" w:name="_Toc100122856"/>
      <w:bookmarkStart w:id="58" w:name="_Toc297795032"/>
      <w:bookmarkStart w:id="59" w:name="_Toc102120190"/>
      <w:bookmarkStart w:id="60" w:name="_Toc100123056"/>
      <w:bookmarkStart w:id="61" w:name="_Toc100123156"/>
    </w:p>
    <w:p>
      <w:pPr>
        <w:pStyle w:val="4"/>
        <w:spacing w:before="156" w:after="156"/>
        <w:rPr>
          <w:rFonts w:ascii="Times New Roman"/>
          <w:sz w:val="30"/>
          <w:szCs w:val="30"/>
        </w:rPr>
      </w:pPr>
      <w:bookmarkStart w:id="62" w:name="_Toc443915686"/>
      <w:r>
        <w:rPr>
          <w:rFonts w:ascii="Times New Roman"/>
          <w:sz w:val="30"/>
          <w:szCs w:val="30"/>
        </w:rPr>
        <w:t>表6  环保措施执行情况</w:t>
      </w:r>
      <w:bookmarkEnd w:id="53"/>
      <w:bookmarkEnd w:id="54"/>
      <w:bookmarkEnd w:id="55"/>
      <w:bookmarkEnd w:id="56"/>
      <w:bookmarkEnd w:id="57"/>
      <w:bookmarkEnd w:id="58"/>
      <w:bookmarkEnd w:id="59"/>
      <w:bookmarkEnd w:id="60"/>
      <w:bookmarkEnd w:id="61"/>
      <w:bookmarkEnd w:id="62"/>
    </w:p>
    <w:tbl>
      <w:tblPr>
        <w:tblStyle w:val="3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shd w:val="clear" w:color="auto" w:fill="auto"/>
          </w:tcPr>
          <w:p>
            <w:pPr>
              <w:spacing w:line="460" w:lineRule="exact"/>
              <w:rPr>
                <w:b/>
                <w:sz w:val="24"/>
              </w:rPr>
            </w:pPr>
            <w:r>
              <w:rPr>
                <w:b/>
                <w:sz w:val="24"/>
              </w:rPr>
              <w:t>与项目有关的生态破坏和污染物排放、主要环境问题及环境保护措施</w:t>
            </w:r>
          </w:p>
          <w:p>
            <w:pPr>
              <w:pStyle w:val="86"/>
              <w:ind w:firstLine="480"/>
              <w:rPr>
                <w:rFonts w:cs="Times New Roman"/>
              </w:rPr>
            </w:pPr>
            <w:r>
              <w:rPr>
                <w:rFonts w:cs="Times New Roman"/>
              </w:rPr>
              <w:t>1 施工期主要污染工序</w:t>
            </w:r>
          </w:p>
          <w:p>
            <w:pPr>
              <w:pStyle w:val="86"/>
              <w:ind w:firstLine="480"/>
              <w:rPr>
                <w:rFonts w:cs="Times New Roman"/>
              </w:rPr>
            </w:pPr>
            <w:r>
              <w:rPr>
                <w:rFonts w:cs="Times New Roman"/>
              </w:rPr>
              <w:t>施工过程中产生的污染都是暂时的，随着施工过程的结束，影响也将在短期内消失。</w:t>
            </w:r>
          </w:p>
          <w:p>
            <w:pPr>
              <w:pStyle w:val="86"/>
              <w:ind w:firstLine="480"/>
              <w:rPr>
                <w:rFonts w:cs="Times New Roman"/>
              </w:rPr>
            </w:pPr>
            <w:r>
              <w:rPr>
                <w:rFonts w:cs="Times New Roman"/>
              </w:rPr>
              <w:t>1.1大气污染物产生环节</w:t>
            </w:r>
          </w:p>
          <w:p>
            <w:pPr>
              <w:pStyle w:val="86"/>
              <w:ind w:firstLine="480"/>
              <w:rPr>
                <w:rFonts w:cs="Times New Roman"/>
                <w:color w:val="000000" w:themeColor="text1"/>
              </w:rPr>
            </w:pPr>
            <w:r>
              <w:rPr>
                <w:rFonts w:cs="Times New Roman"/>
                <w:color w:val="000000" w:themeColor="text1"/>
              </w:rPr>
              <w:fldChar w:fldCharType="begin"/>
            </w:r>
            <w:r>
              <w:rPr>
                <w:rFonts w:cs="Times New Roman"/>
                <w:color w:val="000000" w:themeColor="text1"/>
              </w:rPr>
              <w:instrText xml:space="preserve"> = 1 \* GB3 </w:instrText>
            </w:r>
            <w:r>
              <w:rPr>
                <w:rFonts w:cs="Times New Roman"/>
                <w:color w:val="000000" w:themeColor="text1"/>
              </w:rPr>
              <w:fldChar w:fldCharType="separate"/>
            </w:r>
            <w:r>
              <w:rPr>
                <w:rFonts w:hint="eastAsia" w:ascii="宋体" w:hAnsi="宋体"/>
                <w:color w:val="000000" w:themeColor="text1"/>
              </w:rPr>
              <w:t>①</w:t>
            </w:r>
            <w:r>
              <w:rPr>
                <w:rFonts w:cs="Times New Roman"/>
                <w:color w:val="000000" w:themeColor="text1"/>
              </w:rPr>
              <w:fldChar w:fldCharType="end"/>
            </w:r>
            <w:r>
              <w:rPr>
                <w:rFonts w:hint="eastAsia" w:cs="Times New Roman"/>
                <w:color w:val="000000" w:themeColor="text1"/>
              </w:rPr>
              <w:t>作业线路清理、开挖管沟、现场堆放土石方、覆土回填、物料运输时产生的扬尘；</w:t>
            </w:r>
          </w:p>
          <w:p>
            <w:pPr>
              <w:pStyle w:val="86"/>
              <w:ind w:firstLine="480"/>
              <w:rPr>
                <w:rFonts w:cs="Times New Roman"/>
              </w:rPr>
            </w:pPr>
            <w:r>
              <w:rPr>
                <w:rFonts w:cs="Times New Roman"/>
              </w:rPr>
              <w:fldChar w:fldCharType="begin"/>
            </w:r>
            <w:r>
              <w:rPr>
                <w:rFonts w:cs="Times New Roman"/>
              </w:rPr>
              <w:instrText xml:space="preserve"> = 2 \* GB3 </w:instrText>
            </w:r>
            <w:r>
              <w:rPr>
                <w:rFonts w:cs="Times New Roman"/>
              </w:rPr>
              <w:fldChar w:fldCharType="separate"/>
            </w:r>
            <w:r>
              <w:rPr>
                <w:rFonts w:hint="eastAsia" w:ascii="宋体" w:hAnsi="宋体"/>
              </w:rPr>
              <w:t>②</w:t>
            </w:r>
            <w:r>
              <w:rPr>
                <w:rFonts w:cs="Times New Roman"/>
              </w:rPr>
              <w:fldChar w:fldCharType="end"/>
            </w:r>
            <w:r>
              <w:rPr>
                <w:rFonts w:hint="eastAsia" w:cs="Times New Roman"/>
              </w:rPr>
              <w:t>挖掘机、运输车辆等施工机械产生的废气；</w:t>
            </w:r>
          </w:p>
          <w:p>
            <w:pPr>
              <w:pStyle w:val="86"/>
              <w:ind w:firstLine="480"/>
              <w:rPr>
                <w:rFonts w:cs="Times New Roman"/>
              </w:rPr>
            </w:pPr>
            <w:r>
              <w:rPr>
                <w:rFonts w:cs="Times New Roman"/>
              </w:rPr>
              <w:fldChar w:fldCharType="begin"/>
            </w:r>
            <w:r>
              <w:rPr>
                <w:rFonts w:cs="Times New Roman"/>
              </w:rPr>
              <w:instrText xml:space="preserve"> = 3 \* GB3 </w:instrText>
            </w:r>
            <w:r>
              <w:rPr>
                <w:rFonts w:cs="Times New Roman"/>
              </w:rPr>
              <w:fldChar w:fldCharType="separate"/>
            </w:r>
            <w:r>
              <w:rPr>
                <w:rFonts w:hint="eastAsia" w:ascii="宋体" w:hAnsi="宋体"/>
              </w:rPr>
              <w:t>③</w:t>
            </w:r>
            <w:r>
              <w:rPr>
                <w:rFonts w:cs="Times New Roman"/>
              </w:rPr>
              <w:fldChar w:fldCharType="end"/>
            </w:r>
            <w:r>
              <w:rPr>
                <w:rFonts w:hint="eastAsia" w:cs="Times New Roman"/>
              </w:rPr>
              <w:t>管道焊接时产生的烟气、打磨时产生的粉尘。</w:t>
            </w:r>
          </w:p>
          <w:p>
            <w:pPr>
              <w:pStyle w:val="86"/>
              <w:ind w:firstLine="480"/>
              <w:rPr>
                <w:rFonts w:cs="Times New Roman"/>
              </w:rPr>
            </w:pPr>
            <w:r>
              <w:rPr>
                <w:rFonts w:cs="Times New Roman"/>
              </w:rPr>
              <w:t>1.2废水产生环节</w:t>
            </w:r>
          </w:p>
          <w:p>
            <w:pPr>
              <w:pStyle w:val="86"/>
              <w:ind w:firstLine="480"/>
              <w:rPr>
                <w:rFonts w:cs="Times New Roman"/>
              </w:rPr>
            </w:pPr>
            <w:r>
              <w:rPr>
                <w:rFonts w:cs="Times New Roman"/>
              </w:rPr>
              <w:t>施工人员产生的生活污水。</w:t>
            </w:r>
          </w:p>
          <w:p>
            <w:pPr>
              <w:pStyle w:val="86"/>
              <w:ind w:firstLine="480"/>
              <w:rPr>
                <w:rFonts w:cs="Times New Roman"/>
                <w:color w:val="000000" w:themeColor="text1"/>
              </w:rPr>
            </w:pPr>
            <w:r>
              <w:rPr>
                <w:rFonts w:cs="Times New Roman"/>
                <w:color w:val="000000" w:themeColor="text1"/>
              </w:rPr>
              <w:t>1.3噪声产生环节</w:t>
            </w:r>
          </w:p>
          <w:p>
            <w:pPr>
              <w:pStyle w:val="86"/>
              <w:ind w:firstLine="480"/>
              <w:rPr>
                <w:rFonts w:cs="Times New Roman"/>
                <w:color w:val="000000" w:themeColor="text1"/>
              </w:rPr>
            </w:pPr>
            <w:r>
              <w:rPr>
                <w:rFonts w:cs="Times New Roman"/>
                <w:color w:val="000000" w:themeColor="text1"/>
              </w:rPr>
              <w:t>施工时各种机械、车辆产生的噪声。</w:t>
            </w:r>
          </w:p>
          <w:p>
            <w:pPr>
              <w:pStyle w:val="86"/>
              <w:ind w:firstLine="480"/>
              <w:rPr>
                <w:rFonts w:cs="Times New Roman"/>
                <w:color w:val="000000" w:themeColor="text1"/>
              </w:rPr>
            </w:pPr>
            <w:r>
              <w:rPr>
                <w:rFonts w:cs="Times New Roman"/>
                <w:color w:val="000000" w:themeColor="text1"/>
              </w:rPr>
              <w:t>1.4固体废物产生环节</w:t>
            </w:r>
          </w:p>
          <w:p>
            <w:pPr>
              <w:pStyle w:val="86"/>
              <w:ind w:firstLine="480"/>
              <w:rPr>
                <w:rFonts w:cs="Times New Roman"/>
                <w:color w:val="000000" w:themeColor="text1"/>
              </w:rPr>
            </w:pPr>
            <w:r>
              <w:rPr>
                <w:rFonts w:cs="Times New Roman"/>
                <w:color w:val="000000" w:themeColor="text1"/>
              </w:rPr>
              <w:fldChar w:fldCharType="begin"/>
            </w:r>
            <w:r>
              <w:rPr>
                <w:rFonts w:cs="Times New Roman"/>
                <w:color w:val="000000" w:themeColor="text1"/>
              </w:rPr>
              <w:instrText xml:space="preserve"> = 1 \* GB3 </w:instrText>
            </w:r>
            <w:r>
              <w:rPr>
                <w:rFonts w:cs="Times New Roman"/>
                <w:color w:val="000000" w:themeColor="text1"/>
              </w:rPr>
              <w:fldChar w:fldCharType="separate"/>
            </w:r>
            <w:r>
              <w:rPr>
                <w:rFonts w:hint="eastAsia" w:ascii="宋体" w:hAnsi="宋体"/>
                <w:color w:val="000000" w:themeColor="text1"/>
              </w:rPr>
              <w:t>①</w:t>
            </w:r>
            <w:r>
              <w:rPr>
                <w:rFonts w:cs="Times New Roman"/>
                <w:color w:val="000000" w:themeColor="text1"/>
              </w:rPr>
              <w:fldChar w:fldCharType="end"/>
            </w:r>
            <w:r>
              <w:rPr>
                <w:rFonts w:cs="Times New Roman"/>
                <w:color w:val="000000" w:themeColor="text1"/>
              </w:rPr>
              <w:t>管道施工过程中产生的弃土、废管材、焊条等固废；</w:t>
            </w:r>
          </w:p>
          <w:p>
            <w:pPr>
              <w:pStyle w:val="86"/>
              <w:ind w:firstLine="480"/>
              <w:rPr>
                <w:rFonts w:cs="Times New Roman"/>
              </w:rPr>
            </w:pPr>
            <w:r>
              <w:rPr>
                <w:rFonts w:cs="Times New Roman"/>
              </w:rPr>
              <w:fldChar w:fldCharType="begin"/>
            </w:r>
            <w:r>
              <w:rPr>
                <w:rFonts w:cs="Times New Roman"/>
              </w:rPr>
              <w:instrText xml:space="preserve"> = 2 \* GB3 </w:instrText>
            </w:r>
            <w:r>
              <w:rPr>
                <w:rFonts w:cs="Times New Roman"/>
              </w:rPr>
              <w:fldChar w:fldCharType="separate"/>
            </w:r>
            <w:r>
              <w:rPr>
                <w:rFonts w:hint="eastAsia" w:ascii="宋体" w:hAnsi="宋体"/>
              </w:rPr>
              <w:t>②</w:t>
            </w:r>
            <w:r>
              <w:rPr>
                <w:rFonts w:cs="Times New Roman"/>
              </w:rPr>
              <w:fldChar w:fldCharType="end"/>
            </w:r>
            <w:r>
              <w:rPr>
                <w:rFonts w:hint="eastAsia" w:cs="Times New Roman"/>
              </w:rPr>
              <w:t>河道施工</w:t>
            </w:r>
            <w:r>
              <w:rPr>
                <w:rFonts w:cs="Times New Roman"/>
              </w:rPr>
              <w:t>过程</w:t>
            </w:r>
            <w:r>
              <w:rPr>
                <w:rFonts w:hint="eastAsia" w:cs="Times New Roman"/>
              </w:rPr>
              <w:t>中</w:t>
            </w:r>
            <w:r>
              <w:rPr>
                <w:rFonts w:cs="Times New Roman"/>
              </w:rPr>
              <w:t>产生的</w:t>
            </w:r>
            <w:r>
              <w:rPr>
                <w:rFonts w:hint="eastAsia" w:cs="Times New Roman"/>
              </w:rPr>
              <w:t>施工泥浆</w:t>
            </w:r>
            <w:r>
              <w:rPr>
                <w:rFonts w:cs="Times New Roman"/>
              </w:rPr>
              <w:t>；</w:t>
            </w:r>
          </w:p>
          <w:p>
            <w:pPr>
              <w:pStyle w:val="86"/>
              <w:ind w:firstLine="480"/>
              <w:rPr>
                <w:rFonts w:cs="Times New Roman"/>
              </w:rPr>
            </w:pPr>
            <w:r>
              <w:rPr>
                <w:rFonts w:cs="Times New Roman"/>
              </w:rPr>
              <w:fldChar w:fldCharType="begin"/>
            </w:r>
            <w:r>
              <w:rPr>
                <w:rFonts w:cs="Times New Roman"/>
              </w:rPr>
              <w:instrText xml:space="preserve"> = 3 \* GB3 </w:instrText>
            </w:r>
            <w:r>
              <w:rPr>
                <w:rFonts w:cs="Times New Roman"/>
              </w:rPr>
              <w:fldChar w:fldCharType="separate"/>
            </w:r>
            <w:r>
              <w:rPr>
                <w:rFonts w:hint="eastAsia" w:ascii="宋体" w:hAnsi="宋体"/>
              </w:rPr>
              <w:t>③</w:t>
            </w:r>
            <w:r>
              <w:rPr>
                <w:rFonts w:cs="Times New Roman"/>
              </w:rPr>
              <w:fldChar w:fldCharType="end"/>
            </w:r>
            <w:r>
              <w:rPr>
                <w:rFonts w:hint="eastAsia" w:cs="Times New Roman"/>
              </w:rPr>
              <w:t>清管、吹扫产生的粉尘等固废</w:t>
            </w:r>
            <w:r>
              <w:rPr>
                <w:rFonts w:cs="Times New Roman"/>
              </w:rPr>
              <w:t>。</w:t>
            </w:r>
          </w:p>
          <w:p>
            <w:pPr>
              <w:pStyle w:val="86"/>
              <w:ind w:firstLine="480"/>
              <w:rPr>
                <w:rFonts w:cs="Times New Roman"/>
              </w:rPr>
            </w:pPr>
            <w:r>
              <w:rPr>
                <w:rFonts w:cs="Times New Roman"/>
              </w:rPr>
              <w:t>1.5生态</w:t>
            </w:r>
          </w:p>
          <w:p>
            <w:pPr>
              <w:pStyle w:val="86"/>
              <w:ind w:firstLine="480"/>
              <w:rPr>
                <w:rFonts w:cs="Times New Roman"/>
              </w:rPr>
            </w:pPr>
            <w:r>
              <w:rPr>
                <w:rFonts w:cs="Times New Roman"/>
              </w:rPr>
              <w:t>土地利用性质：主要表现为管道施工临时占地暂时改变了土地利用性质，站场改建无新增占地。</w:t>
            </w:r>
          </w:p>
          <w:p>
            <w:pPr>
              <w:pStyle w:val="86"/>
              <w:ind w:firstLine="480"/>
              <w:rPr>
                <w:rFonts w:cs="Times New Roman"/>
              </w:rPr>
            </w:pPr>
            <w:r>
              <w:rPr>
                <w:rFonts w:cs="Times New Roman"/>
              </w:rPr>
              <w:t>农业生态系统：表现为占用耕地，对土壤结构、土壤的紧实度、土壤养分状况等土壤环境，对农作物的影响。</w:t>
            </w:r>
          </w:p>
          <w:p>
            <w:pPr>
              <w:pStyle w:val="86"/>
              <w:ind w:firstLine="480"/>
              <w:rPr>
                <w:rFonts w:cs="Times New Roman"/>
              </w:rPr>
            </w:pPr>
            <w:r>
              <w:rPr>
                <w:rFonts w:cs="Times New Roman"/>
              </w:rPr>
              <w:t>植被的影响：施工人员及施工机械车辆对野生植物的践踏、碾压和破坏。</w:t>
            </w:r>
          </w:p>
          <w:p>
            <w:pPr>
              <w:pStyle w:val="86"/>
              <w:ind w:firstLine="480"/>
              <w:rPr>
                <w:rFonts w:cs="Times New Roman"/>
              </w:rPr>
            </w:pPr>
            <w:r>
              <w:rPr>
                <w:rFonts w:cs="Times New Roman"/>
              </w:rPr>
              <w:t>水土流失：管道开挖、临时堆土将可能会造成水土流失。</w:t>
            </w:r>
          </w:p>
          <w:p>
            <w:pPr>
              <w:pStyle w:val="86"/>
              <w:ind w:firstLine="480"/>
              <w:rPr>
                <w:rFonts w:cs="Times New Roman"/>
              </w:rPr>
            </w:pPr>
            <w:r>
              <w:rPr>
                <w:rFonts w:cs="Times New Roman"/>
              </w:rPr>
              <w:t>本项目环评要求在施工过程中一旦发现有文物，立即停止该部分的施工，报告文物管理部门进行处置。</w:t>
            </w:r>
          </w:p>
          <w:p>
            <w:pPr>
              <w:pStyle w:val="86"/>
              <w:ind w:firstLine="480"/>
              <w:rPr>
                <w:rFonts w:cs="Times New Roman"/>
                <w:color w:val="000000" w:themeColor="text1"/>
              </w:rPr>
            </w:pPr>
            <w:r>
              <w:rPr>
                <w:rFonts w:cs="Times New Roman"/>
                <w:color w:val="000000" w:themeColor="text1"/>
              </w:rPr>
              <w:t>2 运营期主要污染工序</w:t>
            </w:r>
          </w:p>
          <w:p>
            <w:pPr>
              <w:pStyle w:val="86"/>
              <w:ind w:firstLine="480"/>
              <w:rPr>
                <w:rFonts w:cs="Times New Roman"/>
                <w:color w:val="000000" w:themeColor="text1"/>
              </w:rPr>
            </w:pPr>
            <w:r>
              <w:rPr>
                <w:rFonts w:cs="Times New Roman"/>
                <w:color w:val="000000" w:themeColor="text1"/>
              </w:rPr>
              <w:t>2.1大气污染物产生环节</w:t>
            </w:r>
          </w:p>
          <w:p>
            <w:pPr>
              <w:pStyle w:val="86"/>
              <w:ind w:firstLine="480"/>
              <w:rPr>
                <w:rFonts w:cs="Times New Roman"/>
                <w:color w:val="000000" w:themeColor="text1"/>
              </w:rPr>
            </w:pPr>
            <w:r>
              <w:rPr>
                <w:rFonts w:cs="Times New Roman"/>
                <w:color w:val="000000" w:themeColor="text1"/>
              </w:rPr>
              <w:fldChar w:fldCharType="begin"/>
            </w:r>
            <w:r>
              <w:rPr>
                <w:rFonts w:cs="Times New Roman"/>
                <w:color w:val="000000" w:themeColor="text1"/>
              </w:rPr>
              <w:instrText xml:space="preserve"> = 1 \* GB3 </w:instrText>
            </w:r>
            <w:r>
              <w:rPr>
                <w:rFonts w:cs="Times New Roman"/>
                <w:color w:val="000000" w:themeColor="text1"/>
              </w:rPr>
              <w:fldChar w:fldCharType="separate"/>
            </w:r>
            <w:r>
              <w:rPr>
                <w:rFonts w:hint="eastAsia" w:ascii="宋体" w:hAnsi="宋体"/>
                <w:color w:val="000000" w:themeColor="text1"/>
              </w:rPr>
              <w:t>①</w:t>
            </w:r>
            <w:r>
              <w:rPr>
                <w:rFonts w:cs="Times New Roman"/>
                <w:color w:val="000000" w:themeColor="text1"/>
              </w:rPr>
              <w:fldChar w:fldCharType="end"/>
            </w:r>
            <w:r>
              <w:rPr>
                <w:rFonts w:hint="eastAsia" w:cs="Times New Roman"/>
                <w:color w:val="000000" w:themeColor="text1"/>
              </w:rPr>
              <w:t>清管作业及系统</w:t>
            </w:r>
            <w:r>
              <w:rPr>
                <w:rFonts w:cs="Times New Roman"/>
                <w:color w:val="000000" w:themeColor="text1"/>
              </w:rPr>
              <w:t>超压</w:t>
            </w:r>
            <w:r>
              <w:rPr>
                <w:rFonts w:hint="eastAsia" w:cs="Times New Roman"/>
                <w:color w:val="000000" w:themeColor="text1"/>
              </w:rPr>
              <w:t>、检修</w:t>
            </w:r>
            <w:r>
              <w:rPr>
                <w:rFonts w:cs="Times New Roman"/>
                <w:color w:val="000000" w:themeColor="text1"/>
              </w:rPr>
              <w:t>排放的天然气；</w:t>
            </w:r>
          </w:p>
          <w:p>
            <w:pPr>
              <w:pStyle w:val="86"/>
              <w:ind w:firstLine="480"/>
              <w:rPr>
                <w:rFonts w:cs="Times New Roman"/>
                <w:color w:val="000000" w:themeColor="text1"/>
              </w:rPr>
            </w:pPr>
            <w:r>
              <w:rPr>
                <w:rFonts w:cs="Times New Roman"/>
                <w:color w:val="000000" w:themeColor="text1"/>
              </w:rPr>
              <w:fldChar w:fldCharType="begin"/>
            </w:r>
            <w:r>
              <w:rPr>
                <w:rFonts w:cs="Times New Roman"/>
                <w:color w:val="000000" w:themeColor="text1"/>
              </w:rPr>
              <w:instrText xml:space="preserve"> = 2 \* GB3 </w:instrText>
            </w:r>
            <w:r>
              <w:rPr>
                <w:rFonts w:cs="Times New Roman"/>
                <w:color w:val="000000" w:themeColor="text1"/>
              </w:rPr>
              <w:fldChar w:fldCharType="separate"/>
            </w:r>
            <w:r>
              <w:rPr>
                <w:rFonts w:hint="eastAsia" w:ascii="宋体" w:hAnsi="宋体"/>
                <w:color w:val="000000" w:themeColor="text1"/>
              </w:rPr>
              <w:t>②</w:t>
            </w:r>
            <w:r>
              <w:rPr>
                <w:rFonts w:cs="Times New Roman"/>
                <w:color w:val="000000" w:themeColor="text1"/>
              </w:rPr>
              <w:fldChar w:fldCharType="end"/>
            </w:r>
            <w:r>
              <w:rPr>
                <w:rFonts w:hint="eastAsia" w:cs="Times New Roman"/>
                <w:color w:val="000000" w:themeColor="text1"/>
              </w:rPr>
              <w:t>非正常工况下泄露的天然气</w:t>
            </w:r>
            <w:r>
              <w:rPr>
                <w:rFonts w:cs="Times New Roman"/>
                <w:color w:val="000000" w:themeColor="text1"/>
              </w:rPr>
              <w:t>。</w:t>
            </w:r>
          </w:p>
          <w:p>
            <w:pPr>
              <w:pStyle w:val="86"/>
              <w:ind w:firstLine="480"/>
              <w:rPr>
                <w:rFonts w:cs="Times New Roman"/>
                <w:color w:val="000000" w:themeColor="text1"/>
              </w:rPr>
            </w:pPr>
            <w:r>
              <w:rPr>
                <w:rFonts w:cs="Times New Roman"/>
                <w:color w:val="000000" w:themeColor="text1"/>
              </w:rPr>
              <w:t>2.2废水产生环节</w:t>
            </w:r>
          </w:p>
          <w:p>
            <w:pPr>
              <w:pStyle w:val="86"/>
              <w:ind w:firstLine="480"/>
              <w:rPr>
                <w:rFonts w:cs="Times New Roman"/>
                <w:color w:val="000000" w:themeColor="text1"/>
              </w:rPr>
            </w:pPr>
            <w:r>
              <w:rPr>
                <w:rFonts w:cs="Times New Roman"/>
                <w:color w:val="000000" w:themeColor="text1"/>
              </w:rPr>
              <w:fldChar w:fldCharType="begin"/>
            </w:r>
            <w:r>
              <w:rPr>
                <w:rFonts w:cs="Times New Roman"/>
                <w:color w:val="000000" w:themeColor="text1"/>
              </w:rPr>
              <w:instrText xml:space="preserve"> = 1 \* GB3 </w:instrText>
            </w:r>
            <w:r>
              <w:rPr>
                <w:rFonts w:cs="Times New Roman"/>
                <w:color w:val="000000" w:themeColor="text1"/>
              </w:rPr>
              <w:fldChar w:fldCharType="separate"/>
            </w:r>
            <w:r>
              <w:rPr>
                <w:rFonts w:hint="eastAsia" w:ascii="宋体" w:hAnsi="宋体"/>
                <w:color w:val="000000" w:themeColor="text1"/>
              </w:rPr>
              <w:t>①</w:t>
            </w:r>
            <w:r>
              <w:rPr>
                <w:rFonts w:cs="Times New Roman"/>
                <w:color w:val="000000" w:themeColor="text1"/>
              </w:rPr>
              <w:fldChar w:fldCharType="end"/>
            </w:r>
            <w:r>
              <w:rPr>
                <w:rFonts w:hint="eastAsia" w:cs="Times New Roman"/>
                <w:color w:val="000000" w:themeColor="text1"/>
              </w:rPr>
              <w:t>保德首站擦洗设备产生的废水；</w:t>
            </w:r>
          </w:p>
          <w:p>
            <w:pPr>
              <w:pStyle w:val="86"/>
              <w:ind w:firstLine="480"/>
              <w:rPr>
                <w:rFonts w:cs="Times New Roman"/>
                <w:color w:val="FF0000"/>
              </w:rPr>
            </w:pPr>
            <w:r>
              <w:rPr>
                <w:rFonts w:cs="Times New Roman"/>
                <w:color w:val="000000" w:themeColor="text1"/>
              </w:rPr>
              <w:fldChar w:fldCharType="begin"/>
            </w:r>
            <w:r>
              <w:rPr>
                <w:rFonts w:cs="Times New Roman"/>
                <w:color w:val="000000" w:themeColor="text1"/>
              </w:rPr>
              <w:instrText xml:space="preserve"> = 2 \* GB3 </w:instrText>
            </w:r>
            <w:r>
              <w:rPr>
                <w:rFonts w:cs="Times New Roman"/>
                <w:color w:val="000000" w:themeColor="text1"/>
              </w:rPr>
              <w:fldChar w:fldCharType="separate"/>
            </w:r>
            <w:r>
              <w:rPr>
                <w:rFonts w:hint="eastAsia" w:ascii="宋体" w:hAnsi="宋体"/>
                <w:color w:val="000000" w:themeColor="text1"/>
              </w:rPr>
              <w:t>②</w:t>
            </w:r>
            <w:r>
              <w:rPr>
                <w:rFonts w:cs="Times New Roman"/>
                <w:color w:val="000000" w:themeColor="text1"/>
              </w:rPr>
              <w:fldChar w:fldCharType="end"/>
            </w:r>
            <w:r>
              <w:rPr>
                <w:rFonts w:hint="eastAsia" w:cs="Times New Roman"/>
                <w:color w:val="000000" w:themeColor="text1"/>
              </w:rPr>
              <w:t>检修废水。</w:t>
            </w:r>
          </w:p>
          <w:p>
            <w:pPr>
              <w:pStyle w:val="86"/>
              <w:ind w:firstLine="480"/>
              <w:rPr>
                <w:rFonts w:cs="Times New Roman"/>
                <w:color w:val="000000" w:themeColor="text1"/>
              </w:rPr>
            </w:pPr>
            <w:r>
              <w:rPr>
                <w:rFonts w:cs="Times New Roman"/>
                <w:color w:val="000000" w:themeColor="text1"/>
              </w:rPr>
              <w:t>2.3噪声产生环节</w:t>
            </w:r>
          </w:p>
          <w:p>
            <w:pPr>
              <w:pStyle w:val="86"/>
              <w:ind w:firstLine="480"/>
              <w:rPr>
                <w:rFonts w:cs="Times New Roman"/>
                <w:color w:val="000000" w:themeColor="text1"/>
              </w:rPr>
            </w:pPr>
            <w:r>
              <w:rPr>
                <w:rFonts w:hint="eastAsia" w:cs="Times New Roman"/>
                <w:color w:val="000000" w:themeColor="text1"/>
              </w:rPr>
              <w:t>保德首站调压计等设备产生的噪声</w:t>
            </w:r>
          </w:p>
          <w:p>
            <w:pPr>
              <w:pStyle w:val="86"/>
              <w:ind w:firstLine="480"/>
              <w:rPr>
                <w:rFonts w:cs="Times New Roman"/>
                <w:color w:val="000000" w:themeColor="text1"/>
              </w:rPr>
            </w:pPr>
            <w:r>
              <w:rPr>
                <w:rFonts w:cs="Times New Roman"/>
                <w:color w:val="000000" w:themeColor="text1"/>
              </w:rPr>
              <w:t>2.4固体废物产生环节</w:t>
            </w:r>
          </w:p>
          <w:p>
            <w:pPr>
              <w:pStyle w:val="86"/>
              <w:ind w:firstLine="480"/>
              <w:rPr>
                <w:rFonts w:cs="Times New Roman"/>
                <w:color w:val="000000" w:themeColor="text1"/>
              </w:rPr>
            </w:pPr>
            <w:r>
              <w:rPr>
                <w:rFonts w:cs="Times New Roman"/>
                <w:color w:val="000000" w:themeColor="text1"/>
              </w:rPr>
              <w:fldChar w:fldCharType="begin"/>
            </w:r>
            <w:r>
              <w:rPr>
                <w:rFonts w:cs="Times New Roman"/>
                <w:color w:val="000000" w:themeColor="text1"/>
              </w:rPr>
              <w:instrText xml:space="preserve"> = 1 \* GB3 </w:instrText>
            </w:r>
            <w:r>
              <w:rPr>
                <w:rFonts w:cs="Times New Roman"/>
                <w:color w:val="000000" w:themeColor="text1"/>
              </w:rPr>
              <w:fldChar w:fldCharType="separate"/>
            </w:r>
            <w:r>
              <w:rPr>
                <w:rFonts w:hint="eastAsia" w:ascii="宋体" w:hAnsi="宋体"/>
                <w:color w:val="000000" w:themeColor="text1"/>
              </w:rPr>
              <w:t>①</w:t>
            </w:r>
            <w:r>
              <w:rPr>
                <w:rFonts w:cs="Times New Roman"/>
                <w:color w:val="000000" w:themeColor="text1"/>
              </w:rPr>
              <w:fldChar w:fldCharType="end"/>
            </w:r>
            <w:r>
              <w:rPr>
                <w:rFonts w:hint="eastAsia" w:cs="Times New Roman"/>
                <w:color w:val="000000" w:themeColor="text1"/>
              </w:rPr>
              <w:t>站场收球清管及过滤分离产生的废渣（粉尘、氧化铁粉末）；</w:t>
            </w:r>
          </w:p>
          <w:p>
            <w:pPr>
              <w:pStyle w:val="86"/>
              <w:ind w:firstLine="480"/>
              <w:rPr>
                <w:rFonts w:cs="Times New Roman"/>
                <w:color w:val="000000" w:themeColor="text1"/>
                <w:szCs w:val="24"/>
              </w:rPr>
            </w:pPr>
            <w:r>
              <w:rPr>
                <w:rFonts w:cs="Times New Roman"/>
                <w:color w:val="000000" w:themeColor="text1"/>
              </w:rPr>
              <w:fldChar w:fldCharType="begin"/>
            </w:r>
            <w:r>
              <w:rPr>
                <w:rFonts w:cs="Times New Roman"/>
                <w:color w:val="000000" w:themeColor="text1"/>
              </w:rPr>
              <w:instrText xml:space="preserve"> = 2 \* GB3 </w:instrText>
            </w:r>
            <w:r>
              <w:rPr>
                <w:rFonts w:cs="Times New Roman"/>
                <w:color w:val="000000" w:themeColor="text1"/>
              </w:rPr>
              <w:fldChar w:fldCharType="separate"/>
            </w:r>
            <w:r>
              <w:rPr>
                <w:rFonts w:hint="eastAsia" w:ascii="宋体" w:hAnsi="宋体"/>
                <w:color w:val="000000" w:themeColor="text1"/>
              </w:rPr>
              <w:t>②</w:t>
            </w:r>
            <w:r>
              <w:rPr>
                <w:rFonts w:cs="Times New Roman"/>
                <w:color w:val="000000" w:themeColor="text1"/>
              </w:rPr>
              <w:fldChar w:fldCharType="end"/>
            </w:r>
            <w:r>
              <w:rPr>
                <w:rFonts w:hint="eastAsia" w:cs="Times New Roman"/>
                <w:color w:val="000000" w:themeColor="text1"/>
              </w:rPr>
              <w:t>站场检修产生的废油</w:t>
            </w:r>
          </w:p>
          <w:p>
            <w:pPr>
              <w:pStyle w:val="43"/>
              <w:ind w:firstLine="482" w:firstLineChars="0"/>
              <w:rPr>
                <w:color w:val="000000" w:themeColor="text1"/>
                <w:sz w:val="24"/>
              </w:rPr>
            </w:pPr>
            <w:r>
              <w:rPr>
                <w:color w:val="000000" w:themeColor="text1"/>
                <w:sz w:val="24"/>
              </w:rPr>
              <w:t>3、环保措施</w:t>
            </w:r>
          </w:p>
          <w:p>
            <w:pPr>
              <w:pStyle w:val="43"/>
              <w:ind w:firstLine="482" w:firstLineChars="0"/>
              <w:rPr>
                <w:sz w:val="24"/>
              </w:rPr>
            </w:pPr>
            <w:r>
              <w:rPr>
                <w:color w:val="000000" w:themeColor="text1"/>
                <w:sz w:val="24"/>
              </w:rPr>
              <w:t>环境保护措施见表</w:t>
            </w:r>
            <w:r>
              <w:rPr>
                <w:rFonts w:hint="eastAsia"/>
                <w:sz w:val="24"/>
                <w:lang w:val="en-US" w:eastAsia="zh-CN"/>
              </w:rPr>
              <w:t>6</w:t>
            </w:r>
            <w:r>
              <w:rPr>
                <w:sz w:val="24"/>
              </w:rPr>
              <w:t>-</w:t>
            </w:r>
            <w:r>
              <w:rPr>
                <w:rFonts w:hint="eastAsia"/>
                <w:sz w:val="24"/>
                <w:lang w:val="en-US" w:eastAsia="zh-CN"/>
              </w:rPr>
              <w:t>1</w:t>
            </w:r>
            <w:r>
              <w:rPr>
                <w:rFonts w:hint="eastAsia"/>
                <w:sz w:val="24"/>
              </w:rPr>
              <w:t>。</w:t>
            </w:r>
          </w:p>
          <w:p>
            <w:pPr>
              <w:pStyle w:val="43"/>
              <w:spacing w:line="460" w:lineRule="exact"/>
              <w:ind w:firstLine="0" w:firstLineChars="0"/>
              <w:jc w:val="center"/>
              <w:rPr>
                <w:b/>
                <w:color w:val="FF0000"/>
                <w:sz w:val="21"/>
                <w:szCs w:val="21"/>
              </w:rPr>
            </w:pPr>
            <w:r>
              <w:rPr>
                <w:b/>
                <w:sz w:val="21"/>
                <w:szCs w:val="21"/>
              </w:rPr>
              <w:t>表</w:t>
            </w:r>
            <w:r>
              <w:rPr>
                <w:rFonts w:hint="eastAsia"/>
                <w:b/>
                <w:sz w:val="21"/>
                <w:szCs w:val="21"/>
                <w:lang w:val="en-US" w:eastAsia="zh-CN"/>
              </w:rPr>
              <w:t>6</w:t>
            </w:r>
            <w:r>
              <w:rPr>
                <w:b/>
                <w:sz w:val="21"/>
                <w:szCs w:val="21"/>
              </w:rPr>
              <w:t>-</w:t>
            </w:r>
            <w:r>
              <w:rPr>
                <w:rFonts w:hint="eastAsia"/>
                <w:b/>
                <w:sz w:val="21"/>
                <w:szCs w:val="21"/>
                <w:lang w:val="en-US" w:eastAsia="zh-CN"/>
              </w:rPr>
              <w:t>1</w:t>
            </w:r>
            <w:r>
              <w:rPr>
                <w:b/>
                <w:sz w:val="21"/>
                <w:szCs w:val="21"/>
              </w:rPr>
              <w:t xml:space="preserve">  环境保护措</w:t>
            </w:r>
            <w:r>
              <w:rPr>
                <w:b/>
                <w:color w:val="000000" w:themeColor="text1"/>
                <w:sz w:val="21"/>
                <w:szCs w:val="21"/>
              </w:rPr>
              <w:t>施一览表</w:t>
            </w:r>
          </w:p>
          <w:tbl>
            <w:tblPr>
              <w:tblStyle w:val="33"/>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915"/>
              <w:gridCol w:w="1020"/>
              <w:gridCol w:w="3331"/>
              <w:gridCol w:w="3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pPr>
                    <w:pStyle w:val="89"/>
                    <w:rPr>
                      <w:rFonts w:cs="Times New Roman"/>
                    </w:rPr>
                  </w:pPr>
                  <w:r>
                    <w:rPr>
                      <w:rFonts w:cs="Times New Roman"/>
                    </w:rPr>
                    <w:t>环境要素</w:t>
                  </w:r>
                </w:p>
              </w:tc>
              <w:tc>
                <w:tcPr>
                  <w:tcW w:w="915" w:type="dxa"/>
                  <w:vAlign w:val="center"/>
                </w:tcPr>
                <w:p>
                  <w:pPr>
                    <w:pStyle w:val="89"/>
                    <w:rPr>
                      <w:rFonts w:hint="eastAsia" w:eastAsia="宋体" w:cs="Times New Roman"/>
                      <w:lang w:val="en-US" w:eastAsia="zh-CN"/>
                    </w:rPr>
                  </w:pPr>
                  <w:r>
                    <w:rPr>
                      <w:rFonts w:hint="eastAsia" w:cs="Times New Roman"/>
                      <w:lang w:val="en-US" w:eastAsia="zh-CN"/>
                    </w:rPr>
                    <w:t>污染期</w:t>
                  </w:r>
                </w:p>
              </w:tc>
              <w:tc>
                <w:tcPr>
                  <w:tcW w:w="1020" w:type="dxa"/>
                  <w:vAlign w:val="center"/>
                </w:tcPr>
                <w:p>
                  <w:pPr>
                    <w:pStyle w:val="89"/>
                    <w:rPr>
                      <w:rFonts w:cs="Times New Roman"/>
                    </w:rPr>
                  </w:pPr>
                  <w:r>
                    <w:rPr>
                      <w:rFonts w:cs="Times New Roman"/>
                    </w:rPr>
                    <w:t>污染源</w:t>
                  </w:r>
                </w:p>
              </w:tc>
              <w:tc>
                <w:tcPr>
                  <w:tcW w:w="3331" w:type="dxa"/>
                  <w:vAlign w:val="center"/>
                </w:tcPr>
                <w:p>
                  <w:pPr>
                    <w:pStyle w:val="89"/>
                    <w:rPr>
                      <w:rFonts w:hint="eastAsia" w:eastAsia="宋体" w:cs="Times New Roman"/>
                      <w:lang w:val="en-US" w:eastAsia="zh-CN"/>
                    </w:rPr>
                  </w:pPr>
                  <w:r>
                    <w:rPr>
                      <w:rFonts w:hint="eastAsia" w:cs="Times New Roman"/>
                      <w:lang w:val="en-US" w:eastAsia="zh-CN"/>
                    </w:rPr>
                    <w:t>环评要求采取措施</w:t>
                  </w:r>
                </w:p>
              </w:tc>
              <w:tc>
                <w:tcPr>
                  <w:tcW w:w="3267" w:type="dxa"/>
                  <w:vAlign w:val="center"/>
                </w:tcPr>
                <w:p>
                  <w:pPr>
                    <w:pStyle w:val="89"/>
                    <w:rPr>
                      <w:rFonts w:cs="Times New Roman"/>
                    </w:rPr>
                  </w:pPr>
                  <w:r>
                    <w:rPr>
                      <w:rFonts w:cs="Times New Roman"/>
                    </w:rPr>
                    <w:t>采取措施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restart"/>
                  <w:shd w:val="clear" w:color="auto" w:fill="auto"/>
                  <w:vAlign w:val="center"/>
                </w:tcPr>
                <w:p>
                  <w:pPr>
                    <w:pStyle w:val="89"/>
                    <w:rPr>
                      <w:rFonts w:hint="eastAsia" w:eastAsia="宋体" w:cs="Times New Roman"/>
                      <w:lang w:val="en-US" w:eastAsia="zh-CN"/>
                    </w:rPr>
                  </w:pPr>
                  <w:r>
                    <w:rPr>
                      <w:rFonts w:hint="eastAsia" w:cs="Times New Roman"/>
                      <w:lang w:val="en-US" w:eastAsia="zh-CN"/>
                    </w:rPr>
                    <w:t>大气污染物</w:t>
                  </w:r>
                </w:p>
              </w:tc>
              <w:tc>
                <w:tcPr>
                  <w:tcW w:w="915" w:type="dxa"/>
                  <w:vMerge w:val="restart"/>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施工期</w:t>
                  </w:r>
                </w:p>
              </w:tc>
              <w:tc>
                <w:tcPr>
                  <w:tcW w:w="1020" w:type="dxa"/>
                  <w:vAlign w:val="center"/>
                </w:tcPr>
                <w:p>
                  <w:pPr>
                    <w:pStyle w:val="89"/>
                    <w:rPr>
                      <w:rFonts w:cs="Times New Roman"/>
                      <w:color w:val="000000" w:themeColor="text1"/>
                    </w:rPr>
                  </w:pPr>
                  <w:r>
                    <w:rPr>
                      <w:rFonts w:cs="Times New Roman"/>
                      <w:color w:val="000000" w:themeColor="text1"/>
                    </w:rPr>
                    <w:t>施工扬尘</w:t>
                  </w:r>
                </w:p>
              </w:tc>
              <w:tc>
                <w:tcPr>
                  <w:tcW w:w="3331" w:type="dxa"/>
                  <w:vAlign w:val="center"/>
                </w:tcPr>
                <w:p>
                  <w:pPr>
                    <w:pStyle w:val="89"/>
                    <w:rPr>
                      <w:rFonts w:cs="Times New Roman"/>
                      <w:color w:val="000000" w:themeColor="text1"/>
                    </w:rPr>
                  </w:pPr>
                  <w:r>
                    <w:rPr>
                      <w:rFonts w:cs="Times New Roman"/>
                      <w:color w:val="000000" w:themeColor="text1"/>
                    </w:rPr>
                    <w:t>散装物料运输加盖篷布，贮存于工棚内；洒落在地下的物料要及时清理，保证施工场地四周清洁；避免大风时土方开挖、运输、平摊；车辆行驶便道经常洒水，避免扬尘</w:t>
                  </w:r>
                </w:p>
              </w:tc>
              <w:tc>
                <w:tcPr>
                  <w:tcW w:w="3267" w:type="dxa"/>
                  <w:vAlign w:val="center"/>
                </w:tcPr>
                <w:p>
                  <w:pPr>
                    <w:pStyle w:val="89"/>
                    <w:rPr>
                      <w:rFonts w:cs="Times New Roman"/>
                      <w:color w:val="000000" w:themeColor="text1"/>
                    </w:rPr>
                  </w:pPr>
                  <w:r>
                    <w:rPr>
                      <w:rFonts w:cs="Times New Roman"/>
                      <w:color w:val="000000" w:themeColor="text1"/>
                    </w:rPr>
                    <w:t>散装物料运输加盖篷布，贮存于工棚内；</w:t>
                  </w:r>
                  <w:r>
                    <w:rPr>
                      <w:rFonts w:hint="eastAsia" w:cs="Times New Roman"/>
                      <w:color w:val="000000" w:themeColor="text1"/>
                      <w:lang w:val="en-US" w:eastAsia="zh-CN"/>
                    </w:rPr>
                    <w:t>对</w:t>
                  </w:r>
                  <w:r>
                    <w:rPr>
                      <w:rFonts w:cs="Times New Roman"/>
                      <w:color w:val="000000" w:themeColor="text1"/>
                    </w:rPr>
                    <w:t>洒落在地下的物料</w:t>
                  </w:r>
                  <w:r>
                    <w:rPr>
                      <w:rFonts w:hint="eastAsia" w:cs="Times New Roman"/>
                      <w:color w:val="000000" w:themeColor="text1"/>
                      <w:lang w:val="en-US" w:eastAsia="zh-CN"/>
                    </w:rPr>
                    <w:t>进行了</w:t>
                  </w:r>
                  <w:r>
                    <w:rPr>
                      <w:rFonts w:cs="Times New Roman"/>
                      <w:color w:val="000000" w:themeColor="text1"/>
                    </w:rPr>
                    <w:t>及时清理</w:t>
                  </w:r>
                  <w:r>
                    <w:rPr>
                      <w:rFonts w:hint="eastAsia" w:cs="Times New Roman"/>
                      <w:color w:val="000000" w:themeColor="text1"/>
                      <w:lang w:eastAsia="zh-CN"/>
                    </w:rPr>
                    <w:t>；</w:t>
                  </w:r>
                  <w:r>
                    <w:rPr>
                      <w:rFonts w:hint="eastAsia" w:cs="Times New Roman"/>
                      <w:color w:val="000000" w:themeColor="text1"/>
                    </w:rPr>
                    <w:t>大风天停止作业</w:t>
                  </w:r>
                  <w:r>
                    <w:rPr>
                      <w:rFonts w:hint="eastAsia" w:cs="Times New Roman"/>
                      <w:color w:val="000000" w:themeColor="text1"/>
                      <w:lang w:eastAsia="zh-CN"/>
                    </w:rPr>
                    <w:t>；</w:t>
                  </w:r>
                  <w:r>
                    <w:rPr>
                      <w:rFonts w:hint="eastAsia" w:cs="Times New Roman"/>
                      <w:color w:val="000000" w:themeColor="text1"/>
                      <w:lang w:val="en-US" w:eastAsia="zh-CN"/>
                    </w:rPr>
                    <w:t>对</w:t>
                  </w:r>
                  <w:r>
                    <w:rPr>
                      <w:rFonts w:cs="Times New Roman"/>
                      <w:color w:val="000000" w:themeColor="text1"/>
                    </w:rPr>
                    <w:t>车辆行驶便道</w:t>
                  </w:r>
                  <w:r>
                    <w:rPr>
                      <w:rFonts w:hint="eastAsia" w:cs="Times New Roman"/>
                      <w:color w:val="000000" w:themeColor="text1"/>
                    </w:rPr>
                    <w:t>进行洒水抑尘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hint="eastAsia" w:cs="Times New Roman"/>
                      <w:color w:val="000000" w:themeColor="text1"/>
                    </w:rPr>
                  </w:pPr>
                </w:p>
              </w:tc>
              <w:tc>
                <w:tcPr>
                  <w:tcW w:w="1020" w:type="dxa"/>
                  <w:vAlign w:val="center"/>
                </w:tcPr>
                <w:p>
                  <w:pPr>
                    <w:pStyle w:val="89"/>
                    <w:rPr>
                      <w:rFonts w:cs="Times New Roman"/>
                      <w:color w:val="000000" w:themeColor="text1"/>
                    </w:rPr>
                  </w:pPr>
                  <w:r>
                    <w:rPr>
                      <w:rFonts w:hint="eastAsia" w:cs="Times New Roman"/>
                      <w:color w:val="000000" w:themeColor="text1"/>
                    </w:rPr>
                    <w:t>汽车尾气</w:t>
                  </w:r>
                </w:p>
              </w:tc>
              <w:tc>
                <w:tcPr>
                  <w:tcW w:w="3331" w:type="dxa"/>
                  <w:vAlign w:val="center"/>
                </w:tcPr>
                <w:p>
                  <w:pPr>
                    <w:pStyle w:val="89"/>
                    <w:rPr>
                      <w:rFonts w:hint="eastAsia" w:cs="Times New Roman"/>
                      <w:color w:val="000000" w:themeColor="text1"/>
                    </w:rPr>
                  </w:pPr>
                  <w:r>
                    <w:rPr>
                      <w:rFonts w:cs="Times New Roman"/>
                      <w:color w:val="000000" w:themeColor="text1"/>
                    </w:rPr>
                    <w:t>施工机械注意保养，保证尾气达标排放</w:t>
                  </w:r>
                </w:p>
              </w:tc>
              <w:tc>
                <w:tcPr>
                  <w:tcW w:w="3267" w:type="dxa"/>
                  <w:vAlign w:val="center"/>
                </w:tcPr>
                <w:p>
                  <w:pPr>
                    <w:pStyle w:val="89"/>
                    <w:rPr>
                      <w:rFonts w:cs="Times New Roman"/>
                    </w:rPr>
                  </w:pPr>
                  <w:r>
                    <w:rPr>
                      <w:rFonts w:hint="eastAsia" w:cs="Times New Roman"/>
                      <w:color w:val="000000" w:themeColor="text1"/>
                      <w:lang w:val="en-US" w:eastAsia="zh-CN"/>
                    </w:rPr>
                    <w:t>对</w:t>
                  </w:r>
                  <w:r>
                    <w:rPr>
                      <w:rFonts w:cs="Times New Roman"/>
                      <w:color w:val="000000" w:themeColor="text1"/>
                    </w:rPr>
                    <w:t>施工机械</w:t>
                  </w:r>
                  <w:r>
                    <w:rPr>
                      <w:rFonts w:hint="eastAsia" w:cs="Times New Roman"/>
                      <w:color w:val="000000" w:themeColor="text1"/>
                      <w:lang w:val="en-US" w:eastAsia="zh-CN"/>
                    </w:rPr>
                    <w:t>及时</w:t>
                  </w:r>
                  <w:r>
                    <w:rPr>
                      <w:rFonts w:cs="Times New Roman"/>
                      <w:color w:val="000000" w:themeColor="text1"/>
                    </w:rPr>
                    <w:t>保养，保证尾气达标排放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hint="eastAsia" w:cs="Times New Roman"/>
                      <w:color w:val="000000" w:themeColor="text1"/>
                    </w:rPr>
                  </w:pPr>
                </w:p>
              </w:tc>
              <w:tc>
                <w:tcPr>
                  <w:tcW w:w="1020" w:type="dxa"/>
                  <w:vAlign w:val="center"/>
                </w:tcPr>
                <w:p>
                  <w:pPr>
                    <w:pStyle w:val="89"/>
                    <w:rPr>
                      <w:rFonts w:cs="Times New Roman"/>
                      <w:color w:val="000000" w:themeColor="text1"/>
                    </w:rPr>
                  </w:pPr>
                  <w:r>
                    <w:rPr>
                      <w:rFonts w:hint="eastAsia" w:cs="Times New Roman"/>
                      <w:color w:val="000000" w:themeColor="text1"/>
                    </w:rPr>
                    <w:t>管道焊接及打磨</w:t>
                  </w:r>
                </w:p>
              </w:tc>
              <w:tc>
                <w:tcPr>
                  <w:tcW w:w="3331" w:type="dxa"/>
                  <w:vAlign w:val="center"/>
                </w:tcPr>
                <w:p>
                  <w:pPr>
                    <w:pStyle w:val="89"/>
                    <w:rPr>
                      <w:rFonts w:hint="eastAsia" w:cs="Times New Roman"/>
                      <w:color w:val="000000" w:themeColor="text1"/>
                    </w:rPr>
                  </w:pPr>
                  <w:r>
                    <w:rPr>
                      <w:rFonts w:cs="Times New Roman"/>
                      <w:color w:val="000000" w:themeColor="text1"/>
                    </w:rPr>
                    <w:t>管道打磨、焊接时，如距道路敏感点近，应注意遮挡；加强施工过程管理</w:t>
                  </w:r>
                </w:p>
              </w:tc>
              <w:tc>
                <w:tcPr>
                  <w:tcW w:w="3267" w:type="dxa"/>
                  <w:vAlign w:val="center"/>
                </w:tcPr>
                <w:p>
                  <w:pPr>
                    <w:pStyle w:val="89"/>
                    <w:rPr>
                      <w:rFonts w:cs="Times New Roman"/>
                    </w:rPr>
                  </w:pPr>
                  <w:r>
                    <w:rPr>
                      <w:rFonts w:cs="Times New Roman"/>
                      <w:color w:val="000000" w:themeColor="text1"/>
                    </w:rPr>
                    <w:t>管道打磨、焊接时，距道路敏感点近</w:t>
                  </w:r>
                  <w:r>
                    <w:rPr>
                      <w:rFonts w:hint="eastAsia" w:cs="Times New Roman"/>
                      <w:color w:val="000000" w:themeColor="text1"/>
                      <w:lang w:val="en-US" w:eastAsia="zh-CN"/>
                    </w:rPr>
                    <w:t>时</w:t>
                  </w:r>
                  <w:r>
                    <w:rPr>
                      <w:rFonts w:cs="Times New Roman"/>
                      <w:color w:val="000000" w:themeColor="text1"/>
                    </w:rPr>
                    <w:t>，</w:t>
                  </w:r>
                  <w:r>
                    <w:rPr>
                      <w:rFonts w:hint="eastAsia" w:cs="Times New Roman"/>
                      <w:color w:val="000000" w:themeColor="text1"/>
                      <w:lang w:val="en-US" w:eastAsia="zh-CN"/>
                    </w:rPr>
                    <w:t>进行了</w:t>
                  </w:r>
                  <w:r>
                    <w:rPr>
                      <w:rFonts w:cs="Times New Roman"/>
                      <w:color w:val="000000" w:themeColor="text1"/>
                    </w:rPr>
                    <w:t>遮挡；施工过程</w:t>
                  </w:r>
                  <w:r>
                    <w:rPr>
                      <w:rFonts w:hint="eastAsia" w:cs="Times New Roman"/>
                      <w:color w:val="000000" w:themeColor="text1"/>
                      <w:lang w:val="en-US" w:eastAsia="zh-CN"/>
                    </w:rPr>
                    <w:t>严格</w:t>
                  </w:r>
                  <w:r>
                    <w:rPr>
                      <w:rFonts w:cs="Times New Roman"/>
                      <w:color w:val="000000" w:themeColor="text1"/>
                    </w:rPr>
                    <w:t>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运营期</w:t>
                  </w:r>
                </w:p>
              </w:tc>
              <w:tc>
                <w:tcPr>
                  <w:tcW w:w="1020" w:type="dxa"/>
                  <w:vAlign w:val="center"/>
                </w:tcPr>
                <w:p>
                  <w:pPr>
                    <w:pStyle w:val="89"/>
                    <w:ind w:firstLine="0" w:firstLineChars="0"/>
                    <w:rPr>
                      <w:rFonts w:hint="eastAsia" w:cs="Times New Roman"/>
                      <w:color w:val="000000" w:themeColor="text1"/>
                    </w:rPr>
                  </w:pPr>
                  <w:r>
                    <w:rPr>
                      <w:rFonts w:hint="eastAsia" w:cs="Times New Roman"/>
                    </w:rPr>
                    <w:t>检修及超压废气</w:t>
                  </w:r>
                </w:p>
              </w:tc>
              <w:tc>
                <w:tcPr>
                  <w:tcW w:w="3331" w:type="dxa"/>
                  <w:vAlign w:val="center"/>
                </w:tcPr>
                <w:p>
                  <w:pPr>
                    <w:pStyle w:val="89"/>
                    <w:ind w:firstLine="0" w:firstLineChars="0"/>
                    <w:rPr>
                      <w:rFonts w:cs="Times New Roman"/>
                      <w:color w:val="000000" w:themeColor="text1"/>
                    </w:rPr>
                  </w:pPr>
                  <w:r>
                    <w:rPr>
                      <w:rFonts w:cs="Times New Roman"/>
                      <w:color w:val="000000" w:themeColor="text1"/>
                    </w:rPr>
                    <w:t>采取点火放空火炬，25m高的排气筒</w:t>
                  </w:r>
                </w:p>
              </w:tc>
              <w:tc>
                <w:tcPr>
                  <w:tcW w:w="3267" w:type="dxa"/>
                  <w:vAlign w:val="center"/>
                </w:tcPr>
                <w:p>
                  <w:pPr>
                    <w:pStyle w:val="89"/>
                    <w:rPr>
                      <w:rFonts w:cs="Times New Roman"/>
                      <w:color w:val="000000" w:themeColor="text1"/>
                    </w:rPr>
                  </w:pPr>
                  <w:r>
                    <w:rPr>
                      <w:rFonts w:hint="eastAsia" w:cs="Times New Roman"/>
                      <w:lang w:val="en-US" w:eastAsia="zh-CN"/>
                    </w:rPr>
                    <w:t>经站场原有点火放空火炬，通过25m高的排气筒排放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restart"/>
                  <w:shd w:val="clear" w:color="auto" w:fill="auto"/>
                  <w:vAlign w:val="center"/>
                </w:tcPr>
                <w:p>
                  <w:pPr>
                    <w:pStyle w:val="89"/>
                    <w:rPr>
                      <w:rFonts w:hint="eastAsia" w:eastAsia="宋体" w:cs="Times New Roman"/>
                      <w:lang w:eastAsia="zh-CN"/>
                    </w:rPr>
                  </w:pPr>
                  <w:r>
                    <w:rPr>
                      <w:rFonts w:hint="eastAsia" w:cs="Times New Roman"/>
                      <w:lang w:val="en-US" w:eastAsia="zh-CN"/>
                    </w:rPr>
                    <w:t>水污染物</w:t>
                  </w:r>
                </w:p>
              </w:tc>
              <w:tc>
                <w:tcPr>
                  <w:tcW w:w="915" w:type="dxa"/>
                  <w:vAlign w:val="center"/>
                </w:tcPr>
                <w:p>
                  <w:pPr>
                    <w:pStyle w:val="89"/>
                    <w:rPr>
                      <w:rFonts w:cs="Times New Roman"/>
                      <w:color w:val="000000" w:themeColor="text1"/>
                    </w:rPr>
                  </w:pPr>
                  <w:r>
                    <w:rPr>
                      <w:rFonts w:hint="eastAsia" w:cs="Times New Roman"/>
                      <w:color w:val="000000" w:themeColor="text1"/>
                      <w:lang w:val="en-US" w:eastAsia="zh-CN"/>
                    </w:rPr>
                    <w:t>施工期</w:t>
                  </w:r>
                </w:p>
              </w:tc>
              <w:tc>
                <w:tcPr>
                  <w:tcW w:w="1020" w:type="dxa"/>
                  <w:vAlign w:val="center"/>
                </w:tcPr>
                <w:p>
                  <w:pPr>
                    <w:pStyle w:val="89"/>
                    <w:rPr>
                      <w:rFonts w:cs="Times New Roman"/>
                      <w:color w:val="000000" w:themeColor="text1"/>
                    </w:rPr>
                  </w:pPr>
                  <w:r>
                    <w:rPr>
                      <w:rFonts w:cs="Times New Roman"/>
                      <w:color w:val="000000" w:themeColor="text1"/>
                    </w:rPr>
                    <w:t>生活污水</w:t>
                  </w:r>
                </w:p>
              </w:tc>
              <w:tc>
                <w:tcPr>
                  <w:tcW w:w="3331" w:type="dxa"/>
                  <w:vAlign w:val="center"/>
                </w:tcPr>
                <w:p>
                  <w:pPr>
                    <w:pStyle w:val="89"/>
                    <w:rPr>
                      <w:rFonts w:cs="Times New Roman"/>
                      <w:color w:val="000000" w:themeColor="text1"/>
                    </w:rPr>
                  </w:pPr>
                  <w:r>
                    <w:rPr>
                      <w:szCs w:val="21"/>
                    </w:rPr>
                    <w:t>施工期施工人员不另设施工营地，在周边村庄租赁生活场地</w:t>
                  </w:r>
                </w:p>
              </w:tc>
              <w:tc>
                <w:tcPr>
                  <w:tcW w:w="3267" w:type="dxa"/>
                  <w:vAlign w:val="center"/>
                </w:tcPr>
                <w:p>
                  <w:pPr>
                    <w:pStyle w:val="89"/>
                    <w:rPr>
                      <w:rFonts w:cs="Times New Roman"/>
                      <w:color w:val="000000" w:themeColor="text1"/>
                    </w:rPr>
                  </w:pPr>
                  <w:r>
                    <w:rPr>
                      <w:rFonts w:hint="eastAsia" w:cs="Times New Roman"/>
                      <w:color w:val="000000" w:themeColor="text1"/>
                    </w:rPr>
                    <w:t>施工人员在周边村庄租赁生活场地，生活污水排入化粪池后由当地村民拉走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restart"/>
                  <w:vAlign w:val="center"/>
                </w:tcPr>
                <w:p>
                  <w:pPr>
                    <w:pStyle w:val="89"/>
                    <w:rPr>
                      <w:rFonts w:cs="Times New Roman"/>
                      <w:color w:val="000000" w:themeColor="text1"/>
                    </w:rPr>
                  </w:pPr>
                  <w:r>
                    <w:rPr>
                      <w:rFonts w:hint="eastAsia" w:cs="Times New Roman"/>
                      <w:color w:val="000000" w:themeColor="text1"/>
                      <w:lang w:val="en-US" w:eastAsia="zh-CN"/>
                    </w:rPr>
                    <w:t>运营期</w:t>
                  </w:r>
                </w:p>
              </w:tc>
              <w:tc>
                <w:tcPr>
                  <w:tcW w:w="1020" w:type="dxa"/>
                  <w:vAlign w:val="center"/>
                </w:tcPr>
                <w:p>
                  <w:pPr>
                    <w:pStyle w:val="89"/>
                    <w:ind w:firstLine="0" w:firstLineChars="0"/>
                    <w:rPr>
                      <w:rFonts w:cs="Times New Roman"/>
                      <w:color w:val="000000" w:themeColor="text1"/>
                    </w:rPr>
                  </w:pPr>
                  <w:r>
                    <w:rPr>
                      <w:rFonts w:hint="eastAsia" w:cs="Times New Roman"/>
                    </w:rPr>
                    <w:t>擦拭废水</w:t>
                  </w:r>
                </w:p>
              </w:tc>
              <w:tc>
                <w:tcPr>
                  <w:tcW w:w="3331" w:type="dxa"/>
                  <w:vAlign w:val="center"/>
                </w:tcPr>
                <w:p>
                  <w:pPr>
                    <w:jc w:val="center"/>
                    <w:rPr>
                      <w:szCs w:val="21"/>
                    </w:rPr>
                  </w:pPr>
                  <w:r>
                    <w:rPr>
                      <w:bCs/>
                      <w:szCs w:val="21"/>
                    </w:rPr>
                    <w:t>泼洒抑尘</w:t>
                  </w:r>
                </w:p>
              </w:tc>
              <w:tc>
                <w:tcPr>
                  <w:tcW w:w="3267" w:type="dxa"/>
                  <w:vAlign w:val="center"/>
                </w:tcPr>
                <w:p>
                  <w:pPr>
                    <w:pStyle w:val="89"/>
                    <w:ind w:firstLine="0" w:firstLineChars="0"/>
                    <w:rPr>
                      <w:rFonts w:hint="eastAsia" w:cs="Times New Roman"/>
                      <w:color w:val="000000" w:themeColor="text1"/>
                    </w:rPr>
                  </w:pPr>
                  <w:r>
                    <w:rPr>
                      <w:rFonts w:hint="eastAsia" w:cs="Times New Roman"/>
                      <w:color w:val="000000" w:themeColor="text1"/>
                    </w:rPr>
                    <w:t>泼洒抑尘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cs="Times New Roman"/>
                      <w:color w:val="000000" w:themeColor="text1"/>
                    </w:rPr>
                  </w:pPr>
                </w:p>
              </w:tc>
              <w:tc>
                <w:tcPr>
                  <w:tcW w:w="1020" w:type="dxa"/>
                  <w:vAlign w:val="center"/>
                </w:tcPr>
                <w:p>
                  <w:pPr>
                    <w:pStyle w:val="89"/>
                    <w:ind w:firstLine="0" w:firstLineChars="0"/>
                    <w:rPr>
                      <w:rFonts w:cs="Times New Roman"/>
                      <w:color w:val="000000" w:themeColor="text1"/>
                    </w:rPr>
                  </w:pPr>
                  <w:r>
                    <w:rPr>
                      <w:rFonts w:hint="eastAsia" w:cs="Times New Roman"/>
                    </w:rPr>
                    <w:t>检修废水</w:t>
                  </w:r>
                </w:p>
              </w:tc>
              <w:tc>
                <w:tcPr>
                  <w:tcW w:w="3331" w:type="dxa"/>
                  <w:vAlign w:val="center"/>
                </w:tcPr>
                <w:p>
                  <w:pPr>
                    <w:jc w:val="center"/>
                    <w:rPr>
                      <w:szCs w:val="21"/>
                    </w:rPr>
                  </w:pPr>
                  <w:r>
                    <w:rPr>
                      <w:bCs/>
                      <w:szCs w:val="21"/>
                    </w:rPr>
                    <w:t>排入站场原排污池，由</w:t>
                  </w:r>
                  <w:r>
                    <w:rPr>
                      <w:rFonts w:hint="eastAsia"/>
                      <w:szCs w:val="21"/>
                    </w:rPr>
                    <w:t>山西松兰环保科技有限公司</w:t>
                  </w:r>
                  <w:r>
                    <w:rPr>
                      <w:bCs/>
                      <w:szCs w:val="21"/>
                    </w:rPr>
                    <w:t>定期清运</w:t>
                  </w:r>
                </w:p>
              </w:tc>
              <w:tc>
                <w:tcPr>
                  <w:tcW w:w="3267" w:type="dxa"/>
                  <w:vAlign w:val="center"/>
                </w:tcPr>
                <w:p>
                  <w:pPr>
                    <w:pStyle w:val="89"/>
                    <w:ind w:firstLine="0" w:firstLineChars="0"/>
                    <w:rPr>
                      <w:rFonts w:hint="eastAsia" w:cs="Times New Roman"/>
                      <w:color w:val="000000" w:themeColor="text1"/>
                    </w:rPr>
                  </w:pPr>
                  <w:r>
                    <w:rPr>
                      <w:rFonts w:hint="eastAsia" w:cs="Times New Roman"/>
                      <w:color w:val="000000" w:themeColor="text1"/>
                      <w:lang w:val="en-US" w:eastAsia="zh-CN"/>
                    </w:rPr>
                    <w:t>依托</w:t>
                  </w:r>
                  <w:r>
                    <w:rPr>
                      <w:rFonts w:hint="default" w:ascii="Times New Roman" w:hAnsi="Times New Roman" w:cs="Times New Roman"/>
                      <w:color w:val="000000" w:themeColor="text1"/>
                      <w:lang w:val="en-US" w:eastAsia="zh-CN"/>
                    </w:rPr>
                    <w:t>站场原有70m</w:t>
                  </w:r>
                  <w:r>
                    <w:rPr>
                      <w:rFonts w:hint="default" w:ascii="Times New Roman" w:hAnsi="Times New Roman" w:cs="Times New Roman"/>
                      <w:color w:val="000000" w:themeColor="text1"/>
                      <w:vertAlign w:val="superscript"/>
                      <w:lang w:val="en-US" w:eastAsia="zh-CN"/>
                    </w:rPr>
                    <w:t>3</w:t>
                  </w:r>
                  <w:r>
                    <w:rPr>
                      <w:rFonts w:hint="default" w:ascii="Times New Roman" w:hAnsi="Times New Roman" w:cs="Times New Roman"/>
                      <w:color w:val="000000" w:themeColor="text1"/>
                      <w:lang w:val="en-US" w:eastAsia="zh-CN"/>
                    </w:rPr>
                    <w:t>排污池</w:t>
                  </w:r>
                  <w:r>
                    <w:rPr>
                      <w:rFonts w:hint="eastAsia" w:cs="Times New Roman"/>
                      <w:color w:val="000000" w:themeColor="text1"/>
                      <w:lang w:val="en-US" w:eastAsia="zh-CN"/>
                    </w:rPr>
                    <w:t>，</w:t>
                  </w:r>
                  <w:r>
                    <w:rPr>
                      <w:rFonts w:hint="eastAsia" w:ascii="Times New Roman" w:hAnsi="Times New Roman" w:cs="Times New Roman"/>
                      <w:lang w:val="en-US" w:eastAsia="zh-CN"/>
                    </w:rPr>
                    <w:t>排污池属于</w:t>
                  </w:r>
                  <w:r>
                    <w:rPr>
                      <w:rFonts w:hint="default" w:ascii="Times New Roman" w:hAnsi="Times New Roman" w:cs="Times New Roman"/>
                      <w:lang w:val="en-US" w:eastAsia="zh-CN"/>
                    </w:rPr>
                    <w:t>山西天然气有限公司保德——三岔天然气输气管线工程</w:t>
                  </w:r>
                  <w:r>
                    <w:rPr>
                      <w:rFonts w:hint="eastAsia" w:ascii="Times New Roman" w:hAnsi="Times New Roman" w:cs="Times New Roman"/>
                      <w:lang w:val="en-US" w:eastAsia="zh-CN"/>
                    </w:rPr>
                    <w:t>项目</w:t>
                  </w:r>
                  <w:r>
                    <w:rPr>
                      <w:rFonts w:hint="eastAsia" w:cs="Times New Roman"/>
                      <w:lang w:val="en-US" w:eastAsia="zh-CN"/>
                    </w:rPr>
                    <w:t>配套环保设施</w:t>
                  </w:r>
                  <w:r>
                    <w:rPr>
                      <w:rFonts w:hint="eastAsia" w:ascii="Times New Roman" w:hAnsi="Times New Roman" w:cs="Times New Roman"/>
                      <w:lang w:val="en-US" w:eastAsia="zh-CN"/>
                    </w:rPr>
                    <w:t>，已通过竣工环境保护验收，可满足新增要求</w:t>
                  </w:r>
                  <w:r>
                    <w:rPr>
                      <w:rFonts w:hint="default" w:ascii="Times New Roman" w:hAnsi="Times New Roman" w:cs="Times New Roman"/>
                      <w:color w:val="000000" w:themeColor="text1"/>
                      <w:lang w:val="en-US" w:eastAsia="zh-CN"/>
                    </w:rPr>
                    <w:t>，</w:t>
                  </w:r>
                  <w:r>
                    <w:rPr>
                      <w:rFonts w:hint="eastAsia" w:cs="Times New Roman"/>
                      <w:color w:val="000000" w:themeColor="text1"/>
                      <w:lang w:val="en-US" w:eastAsia="zh-CN"/>
                    </w:rPr>
                    <w:t>排入排污池，</w:t>
                  </w:r>
                  <w:r>
                    <w:rPr>
                      <w:rFonts w:hint="default" w:ascii="Times New Roman" w:hAnsi="Times New Roman" w:cs="Times New Roman"/>
                      <w:color w:val="000000" w:themeColor="text1"/>
                    </w:rPr>
                    <w:t>由</w:t>
                  </w:r>
                  <w:r>
                    <w:rPr>
                      <w:rFonts w:hint="default" w:ascii="Times New Roman" w:hAnsi="Times New Roman" w:cs="Times New Roman"/>
                      <w:color w:val="000000" w:themeColor="text1"/>
                      <w:lang w:val="en-US" w:eastAsia="zh-CN"/>
                    </w:rPr>
                    <w:t>山西中材桃园环保科技有限公司</w:t>
                  </w:r>
                  <w:r>
                    <w:rPr>
                      <w:rFonts w:hint="default" w:ascii="Times New Roman" w:hAnsi="Times New Roman" w:cs="Times New Roman"/>
                      <w:color w:val="000000" w:themeColor="text1"/>
                    </w:rPr>
                    <w:t>进行合理处置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restart"/>
                  <w:shd w:val="clear" w:color="auto" w:fill="auto"/>
                  <w:vAlign w:val="center"/>
                </w:tcPr>
                <w:p>
                  <w:pPr>
                    <w:pStyle w:val="89"/>
                    <w:rPr>
                      <w:rFonts w:cs="Times New Roman"/>
                    </w:rPr>
                  </w:pPr>
                  <w:r>
                    <w:rPr>
                      <w:rFonts w:cs="Times New Roman"/>
                    </w:rPr>
                    <w:t>固体废物</w:t>
                  </w:r>
                </w:p>
              </w:tc>
              <w:tc>
                <w:tcPr>
                  <w:tcW w:w="915" w:type="dxa"/>
                  <w:vMerge w:val="restart"/>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施工期</w:t>
                  </w:r>
                </w:p>
              </w:tc>
              <w:tc>
                <w:tcPr>
                  <w:tcW w:w="1020" w:type="dxa"/>
                  <w:vAlign w:val="center"/>
                </w:tcPr>
                <w:p>
                  <w:pPr>
                    <w:pStyle w:val="89"/>
                    <w:rPr>
                      <w:rFonts w:cs="Times New Roman"/>
                      <w:color w:val="000000" w:themeColor="text1"/>
                    </w:rPr>
                  </w:pPr>
                  <w:r>
                    <w:rPr>
                      <w:rFonts w:cs="Times New Roman"/>
                      <w:color w:val="000000" w:themeColor="text1"/>
                    </w:rPr>
                    <w:t>弃土</w:t>
                  </w:r>
                  <w:r>
                    <w:rPr>
                      <w:rFonts w:hint="eastAsia" w:cs="Times New Roman"/>
                      <w:color w:val="000000" w:themeColor="text1"/>
                    </w:rPr>
                    <w:t>弃渣</w:t>
                  </w:r>
                </w:p>
              </w:tc>
              <w:tc>
                <w:tcPr>
                  <w:tcW w:w="3331" w:type="dxa"/>
                  <w:vAlign w:val="center"/>
                </w:tcPr>
                <w:p>
                  <w:pPr>
                    <w:pStyle w:val="39"/>
                    <w:spacing w:line="240" w:lineRule="auto"/>
                    <w:jc w:val="center"/>
                    <w:rPr>
                      <w:rFonts w:cs="Times New Roman"/>
                      <w:color w:val="000000" w:themeColor="text1"/>
                    </w:rPr>
                  </w:pPr>
                  <w:r>
                    <w:rPr>
                      <w:rFonts w:ascii="Times New Roman" w:hAnsi="Times New Roman"/>
                      <w:b w:val="0"/>
                      <w:szCs w:val="21"/>
                    </w:rPr>
                    <w:t>单位长度（m）会产生多余的土方量为0.43m</w:t>
                  </w:r>
                  <w:r>
                    <w:rPr>
                      <w:rFonts w:ascii="Times New Roman" w:hAnsi="Times New Roman"/>
                      <w:b w:val="0"/>
                      <w:szCs w:val="21"/>
                      <w:vertAlign w:val="superscript"/>
                    </w:rPr>
                    <w:t>3</w:t>
                  </w:r>
                  <w:r>
                    <w:rPr>
                      <w:rFonts w:ascii="Times New Roman" w:hAnsi="Times New Roman"/>
                      <w:b w:val="0"/>
                      <w:szCs w:val="21"/>
                    </w:rPr>
                    <w:t>，多余弃土在管道两侧各3.5m的范围内进行消化；弃渣送至建筑垃圾填埋场</w:t>
                  </w:r>
                </w:p>
              </w:tc>
              <w:tc>
                <w:tcPr>
                  <w:tcW w:w="3267" w:type="dxa"/>
                  <w:vAlign w:val="center"/>
                </w:tcPr>
                <w:p>
                  <w:pPr>
                    <w:pStyle w:val="89"/>
                    <w:rPr>
                      <w:rFonts w:hint="eastAsia" w:eastAsia="宋体" w:cs="Times New Roman"/>
                      <w:color w:val="000000" w:themeColor="text1"/>
                      <w:lang w:val="en-US" w:eastAsia="zh-CN"/>
                    </w:rPr>
                  </w:pPr>
                  <w:r>
                    <w:rPr>
                      <w:rFonts w:hint="eastAsia" w:cs="Times New Roman"/>
                      <w:color w:val="auto"/>
                      <w:lang w:val="en-US" w:eastAsia="zh-CN"/>
                    </w:rPr>
                    <w:t>多余弃土</w:t>
                  </w:r>
                  <w:r>
                    <w:rPr>
                      <w:rFonts w:cs="Times New Roman"/>
                      <w:color w:val="auto"/>
                    </w:rPr>
                    <w:t>在管道两侧各</w:t>
                  </w:r>
                  <w:r>
                    <w:rPr>
                      <w:rFonts w:hint="eastAsia" w:cs="Times New Roman"/>
                      <w:color w:val="auto"/>
                    </w:rPr>
                    <w:t>3</w:t>
                  </w:r>
                  <w:r>
                    <w:rPr>
                      <w:rFonts w:cs="Times New Roman"/>
                      <w:color w:val="auto"/>
                    </w:rPr>
                    <w:t>.5米的范围内摊平进行消化</w:t>
                  </w:r>
                  <w:r>
                    <w:rPr>
                      <w:rFonts w:hint="eastAsia" w:cs="Times New Roman"/>
                      <w:color w:val="auto"/>
                      <w:lang w:eastAsia="zh-CN"/>
                    </w:rPr>
                    <w:t>；</w:t>
                  </w:r>
                  <w:r>
                    <w:rPr>
                      <w:rFonts w:hint="eastAsia" w:cs="Times New Roman"/>
                      <w:color w:val="auto"/>
                      <w:lang w:val="en-US" w:eastAsia="zh-CN"/>
                    </w:rPr>
                    <w:t>弃渣</w:t>
                  </w:r>
                  <w:r>
                    <w:rPr>
                      <w:rFonts w:hint="eastAsia" w:cs="Times New Roman"/>
                      <w:color w:val="auto"/>
                    </w:rPr>
                    <w:t>送至环保部门指定的固体废物填埋场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hint="eastAsia" w:cs="Times New Roman"/>
                      <w:color w:val="000000" w:themeColor="text1"/>
                    </w:rPr>
                  </w:pPr>
                </w:p>
              </w:tc>
              <w:tc>
                <w:tcPr>
                  <w:tcW w:w="1020" w:type="dxa"/>
                  <w:vAlign w:val="center"/>
                </w:tcPr>
                <w:p>
                  <w:pPr>
                    <w:pStyle w:val="89"/>
                    <w:rPr>
                      <w:rFonts w:cs="Times New Roman"/>
                      <w:color w:val="000000" w:themeColor="text1"/>
                    </w:rPr>
                  </w:pPr>
                  <w:r>
                    <w:rPr>
                      <w:rFonts w:hint="eastAsia" w:cs="Times New Roman"/>
                      <w:color w:val="000000" w:themeColor="text1"/>
                    </w:rPr>
                    <w:t>施工废料</w:t>
                  </w:r>
                </w:p>
              </w:tc>
              <w:tc>
                <w:tcPr>
                  <w:tcW w:w="3331" w:type="dxa"/>
                  <w:vAlign w:val="center"/>
                </w:tcPr>
                <w:p>
                  <w:pPr>
                    <w:keepNext/>
                    <w:snapToGrid w:val="0"/>
                    <w:jc w:val="center"/>
                    <w:rPr>
                      <w:rFonts w:hint="eastAsia" w:cs="Times New Roman"/>
                      <w:color w:val="000000" w:themeColor="text1"/>
                    </w:rPr>
                  </w:pPr>
                  <w:r>
                    <w:rPr>
                      <w:szCs w:val="21"/>
                    </w:rPr>
                    <w:t>废焊条、废防腐材料等统一收集外售</w:t>
                  </w:r>
                </w:p>
              </w:tc>
              <w:tc>
                <w:tcPr>
                  <w:tcW w:w="3267" w:type="dxa"/>
                  <w:vAlign w:val="center"/>
                </w:tcPr>
                <w:p>
                  <w:pPr>
                    <w:pStyle w:val="89"/>
                    <w:rPr>
                      <w:rFonts w:cs="Times New Roman"/>
                      <w:color w:val="000000" w:themeColor="text1"/>
                    </w:rPr>
                  </w:pPr>
                  <w:r>
                    <w:rPr>
                      <w:rFonts w:cs="Times New Roman"/>
                      <w:color w:val="000000" w:themeColor="text1"/>
                    </w:rPr>
                    <w:t>统一收集后外售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hint="eastAsia" w:cs="Times New Roman"/>
                      <w:color w:val="000000" w:themeColor="text1"/>
                    </w:rPr>
                  </w:pPr>
                </w:p>
              </w:tc>
              <w:tc>
                <w:tcPr>
                  <w:tcW w:w="1020" w:type="dxa"/>
                  <w:vAlign w:val="center"/>
                </w:tcPr>
                <w:p>
                  <w:pPr>
                    <w:pStyle w:val="89"/>
                    <w:rPr>
                      <w:rFonts w:hint="eastAsia" w:eastAsia="宋体" w:cs="Times New Roman"/>
                      <w:color w:val="000000" w:themeColor="text1"/>
                      <w:lang w:val="en-US" w:eastAsia="zh-CN"/>
                    </w:rPr>
                  </w:pPr>
                  <w:r>
                    <w:rPr>
                      <w:rFonts w:hint="eastAsia" w:cs="Times New Roman"/>
                      <w:color w:val="000000" w:themeColor="text1"/>
                    </w:rPr>
                    <w:t>清管、吹扫</w:t>
                  </w:r>
                  <w:r>
                    <w:rPr>
                      <w:rFonts w:hint="eastAsia" w:cs="Times New Roman"/>
                      <w:color w:val="000000" w:themeColor="text1"/>
                      <w:lang w:val="en-US" w:eastAsia="zh-CN"/>
                    </w:rPr>
                    <w:t>粉尘及施工废料</w:t>
                  </w:r>
                </w:p>
              </w:tc>
              <w:tc>
                <w:tcPr>
                  <w:tcW w:w="3331" w:type="dxa"/>
                  <w:vAlign w:val="center"/>
                </w:tcPr>
                <w:p>
                  <w:pPr>
                    <w:keepNext/>
                    <w:snapToGrid w:val="0"/>
                    <w:jc w:val="center"/>
                    <w:rPr>
                      <w:rFonts w:hint="eastAsia" w:cs="Times New Roman"/>
                      <w:color w:val="000000" w:themeColor="text1"/>
                    </w:rPr>
                  </w:pPr>
                  <w:r>
                    <w:rPr>
                      <w:szCs w:val="21"/>
                    </w:rPr>
                    <w:t>统一收集送至建筑垃圾填埋场</w:t>
                  </w:r>
                </w:p>
              </w:tc>
              <w:tc>
                <w:tcPr>
                  <w:tcW w:w="3267" w:type="dxa"/>
                  <w:vAlign w:val="center"/>
                </w:tcPr>
                <w:p>
                  <w:pPr>
                    <w:pStyle w:val="89"/>
                    <w:rPr>
                      <w:rFonts w:cs="Times New Roman"/>
                      <w:color w:val="000000" w:themeColor="text1"/>
                    </w:rPr>
                  </w:pPr>
                  <w:r>
                    <w:rPr>
                      <w:rFonts w:hint="eastAsia" w:cs="Times New Roman"/>
                      <w:color w:val="000000" w:themeColor="text1"/>
                    </w:rPr>
                    <w:t>收集后送至环保部门指定的固体废物填埋场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hint="eastAsia" w:cs="Times New Roman"/>
                    </w:rPr>
                  </w:pPr>
                </w:p>
              </w:tc>
              <w:tc>
                <w:tcPr>
                  <w:tcW w:w="1020" w:type="dxa"/>
                  <w:vAlign w:val="center"/>
                </w:tcPr>
                <w:p>
                  <w:pPr>
                    <w:pStyle w:val="89"/>
                    <w:rPr>
                      <w:rFonts w:cs="Times New Roman"/>
                    </w:rPr>
                  </w:pPr>
                  <w:r>
                    <w:rPr>
                      <w:rFonts w:hint="eastAsia" w:cs="Times New Roman"/>
                    </w:rPr>
                    <w:t>河流施工泥浆</w:t>
                  </w:r>
                </w:p>
              </w:tc>
              <w:tc>
                <w:tcPr>
                  <w:tcW w:w="3331" w:type="dxa"/>
                  <w:vAlign w:val="center"/>
                </w:tcPr>
                <w:p>
                  <w:pPr>
                    <w:pStyle w:val="89"/>
                    <w:rPr>
                      <w:rFonts w:hint="eastAsia" w:eastAsia="宋体" w:cs="Times New Roman"/>
                      <w:lang w:val="en-US" w:eastAsia="zh-CN"/>
                    </w:rPr>
                  </w:pPr>
                  <w:r>
                    <w:rPr>
                      <w:rFonts w:hint="eastAsia" w:cs="Times New Roman"/>
                      <w:lang w:val="en-US" w:eastAsia="zh-CN"/>
                    </w:rPr>
                    <w:t>经</w:t>
                  </w:r>
                  <w:r>
                    <w:rPr>
                      <w:rFonts w:hint="eastAsia" w:cs="Times New Roman"/>
                    </w:rPr>
                    <w:t>泥浆收集池沉淀后</w:t>
                  </w:r>
                  <w:r>
                    <w:rPr>
                      <w:rFonts w:hint="eastAsia" w:cs="Times New Roman"/>
                      <w:lang w:val="en-US" w:eastAsia="zh-CN"/>
                    </w:rPr>
                    <w:t>送</w:t>
                  </w:r>
                  <w:r>
                    <w:rPr>
                      <w:szCs w:val="21"/>
                    </w:rPr>
                    <w:t>至建筑垃圾填埋场</w:t>
                  </w:r>
                </w:p>
              </w:tc>
              <w:tc>
                <w:tcPr>
                  <w:tcW w:w="3267" w:type="dxa"/>
                  <w:vAlign w:val="center"/>
                </w:tcPr>
                <w:p>
                  <w:pPr>
                    <w:pStyle w:val="89"/>
                    <w:rPr>
                      <w:rFonts w:cs="Times New Roman"/>
                    </w:rPr>
                  </w:pPr>
                  <w:r>
                    <w:rPr>
                      <w:rFonts w:hint="eastAsia" w:cs="Times New Roman"/>
                    </w:rPr>
                    <w:t>经泥浆收集池沉淀后送至</w:t>
                  </w:r>
                  <w:r>
                    <w:rPr>
                      <w:rFonts w:hint="eastAsia" w:cs="Times New Roman"/>
                      <w:color w:val="000000" w:themeColor="text1"/>
                    </w:rPr>
                    <w:t>环保部门指定的固体废物填埋场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restart"/>
                  <w:vAlign w:val="center"/>
                </w:tcPr>
                <w:p>
                  <w:pPr>
                    <w:pStyle w:val="89"/>
                    <w:rPr>
                      <w:rFonts w:hint="eastAsia" w:eastAsia="宋体" w:cs="Times New Roman"/>
                      <w:lang w:val="en-US" w:eastAsia="zh-CN"/>
                    </w:rPr>
                  </w:pPr>
                  <w:r>
                    <w:rPr>
                      <w:rFonts w:hint="eastAsia" w:cs="Times New Roman"/>
                      <w:lang w:val="en-US" w:eastAsia="zh-CN"/>
                    </w:rPr>
                    <w:t>运营期</w:t>
                  </w:r>
                </w:p>
              </w:tc>
              <w:tc>
                <w:tcPr>
                  <w:tcW w:w="1020" w:type="dxa"/>
                  <w:vAlign w:val="center"/>
                </w:tcPr>
                <w:p>
                  <w:pPr>
                    <w:pStyle w:val="89"/>
                    <w:ind w:firstLine="0" w:firstLineChars="0"/>
                    <w:rPr>
                      <w:rFonts w:hint="eastAsia" w:cs="Times New Roman"/>
                    </w:rPr>
                  </w:pPr>
                  <w:r>
                    <w:rPr>
                      <w:rFonts w:hint="eastAsia" w:cs="Times New Roman"/>
                    </w:rPr>
                    <w:t>清管、检修废渣</w:t>
                  </w:r>
                </w:p>
              </w:tc>
              <w:tc>
                <w:tcPr>
                  <w:tcW w:w="3331" w:type="dxa"/>
                  <w:vAlign w:val="center"/>
                </w:tcPr>
                <w:p>
                  <w:pPr>
                    <w:pStyle w:val="21"/>
                    <w:jc w:val="center"/>
                    <w:rPr>
                      <w:rFonts w:hint="eastAsia" w:cs="Times New Roman"/>
                      <w:lang w:val="en-US" w:eastAsia="zh-CN"/>
                    </w:rPr>
                  </w:pPr>
                  <w:r>
                    <w:rPr>
                      <w:sz w:val="21"/>
                      <w:szCs w:val="21"/>
                    </w:rPr>
                    <w:t>集中收集，可外售综合利用于炼铁</w:t>
                  </w:r>
                </w:p>
              </w:tc>
              <w:tc>
                <w:tcPr>
                  <w:tcW w:w="3267" w:type="dxa"/>
                  <w:vAlign w:val="center"/>
                </w:tcPr>
                <w:p>
                  <w:pPr>
                    <w:pStyle w:val="89"/>
                    <w:rPr>
                      <w:rFonts w:hint="eastAsia" w:cs="Times New Roman"/>
                    </w:rPr>
                  </w:pPr>
                  <w:r>
                    <w:rPr>
                      <w:rFonts w:hint="eastAsia" w:cs="Times New Roman"/>
                      <w:color w:val="000000" w:themeColor="text1"/>
                    </w:rPr>
                    <w:t>集中收集，外售综合利用于炼铁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cs="Times New Roman"/>
                    </w:rPr>
                  </w:pPr>
                </w:p>
              </w:tc>
              <w:tc>
                <w:tcPr>
                  <w:tcW w:w="915" w:type="dxa"/>
                  <w:vMerge w:val="continue"/>
                  <w:vAlign w:val="center"/>
                </w:tcPr>
                <w:p>
                  <w:pPr>
                    <w:pStyle w:val="89"/>
                    <w:rPr>
                      <w:rFonts w:hint="eastAsia" w:cs="Times New Roman"/>
                    </w:rPr>
                  </w:pPr>
                </w:p>
              </w:tc>
              <w:tc>
                <w:tcPr>
                  <w:tcW w:w="1020" w:type="dxa"/>
                  <w:vAlign w:val="center"/>
                </w:tcPr>
                <w:p>
                  <w:pPr>
                    <w:pStyle w:val="89"/>
                    <w:ind w:firstLine="0" w:firstLineChars="0"/>
                    <w:rPr>
                      <w:rFonts w:hint="eastAsia" w:cs="Times New Roman"/>
                    </w:rPr>
                  </w:pPr>
                  <w:r>
                    <w:rPr>
                      <w:rFonts w:hint="eastAsia" w:cs="Times New Roman"/>
                    </w:rPr>
                    <w:t>检修废油</w:t>
                  </w:r>
                </w:p>
              </w:tc>
              <w:tc>
                <w:tcPr>
                  <w:tcW w:w="3331" w:type="dxa"/>
                  <w:vAlign w:val="center"/>
                </w:tcPr>
                <w:p>
                  <w:pPr>
                    <w:keepNext/>
                    <w:snapToGrid w:val="0"/>
                    <w:jc w:val="center"/>
                    <w:rPr>
                      <w:rFonts w:hint="eastAsia" w:cs="Times New Roman"/>
                      <w:lang w:val="en-US" w:eastAsia="zh-CN"/>
                    </w:rPr>
                  </w:pPr>
                  <w:r>
                    <w:rPr>
                      <w:bCs/>
                      <w:szCs w:val="21"/>
                    </w:rPr>
                    <w:t>利用站场原有排污池，将该废油先暂存于排污池内，随产随清，由</w:t>
                  </w:r>
                  <w:r>
                    <w:rPr>
                      <w:rFonts w:hint="eastAsia"/>
                      <w:szCs w:val="21"/>
                    </w:rPr>
                    <w:t>山西松兰环保科技有限公司</w:t>
                  </w:r>
                  <w:r>
                    <w:rPr>
                      <w:bCs/>
                      <w:szCs w:val="21"/>
                    </w:rPr>
                    <w:t>进行合理处置</w:t>
                  </w:r>
                </w:p>
              </w:tc>
              <w:tc>
                <w:tcPr>
                  <w:tcW w:w="3267" w:type="dxa"/>
                  <w:vAlign w:val="center"/>
                </w:tcPr>
                <w:p>
                  <w:pPr>
                    <w:pStyle w:val="89"/>
                    <w:rPr>
                      <w:rFonts w:hint="eastAsia" w:cs="Times New Roman"/>
                    </w:rPr>
                  </w:pPr>
                  <w:r>
                    <w:rPr>
                      <w:rFonts w:hint="eastAsia" w:cs="Times New Roman"/>
                      <w:color w:val="000000" w:themeColor="text1"/>
                      <w:lang w:val="en-US" w:eastAsia="zh-CN"/>
                    </w:rPr>
                    <w:t>依托</w:t>
                  </w:r>
                  <w:r>
                    <w:rPr>
                      <w:rFonts w:hint="default" w:ascii="Times New Roman" w:hAnsi="Times New Roman" w:cs="Times New Roman"/>
                      <w:color w:val="000000" w:themeColor="text1"/>
                      <w:lang w:val="en-US" w:eastAsia="zh-CN"/>
                    </w:rPr>
                    <w:t>站场原有70m</w:t>
                  </w:r>
                  <w:r>
                    <w:rPr>
                      <w:rFonts w:hint="default" w:ascii="Times New Roman" w:hAnsi="Times New Roman" w:cs="Times New Roman"/>
                      <w:color w:val="000000" w:themeColor="text1"/>
                      <w:vertAlign w:val="superscript"/>
                      <w:lang w:val="en-US" w:eastAsia="zh-CN"/>
                    </w:rPr>
                    <w:t>3</w:t>
                  </w:r>
                  <w:r>
                    <w:rPr>
                      <w:rFonts w:hint="default" w:ascii="Times New Roman" w:hAnsi="Times New Roman" w:cs="Times New Roman"/>
                      <w:color w:val="000000" w:themeColor="text1"/>
                      <w:lang w:val="en-US" w:eastAsia="zh-CN"/>
                    </w:rPr>
                    <w:t>排污池</w:t>
                  </w:r>
                  <w:r>
                    <w:rPr>
                      <w:rFonts w:hint="eastAsia" w:cs="Times New Roman"/>
                      <w:color w:val="000000" w:themeColor="text1"/>
                      <w:lang w:val="en-US" w:eastAsia="zh-CN"/>
                    </w:rPr>
                    <w:t>，</w:t>
                  </w:r>
                  <w:r>
                    <w:rPr>
                      <w:rFonts w:hint="eastAsia" w:ascii="Times New Roman" w:hAnsi="Times New Roman" w:cs="Times New Roman"/>
                      <w:lang w:val="en-US" w:eastAsia="zh-CN"/>
                    </w:rPr>
                    <w:t>排污池属于</w:t>
                  </w:r>
                  <w:r>
                    <w:rPr>
                      <w:rFonts w:hint="default" w:ascii="Times New Roman" w:hAnsi="Times New Roman" w:cs="Times New Roman"/>
                      <w:lang w:val="en-US" w:eastAsia="zh-CN"/>
                    </w:rPr>
                    <w:t>山西天然气有限公司保德——三岔天然气输气管线工程</w:t>
                  </w:r>
                  <w:r>
                    <w:rPr>
                      <w:rFonts w:hint="eastAsia" w:ascii="Times New Roman" w:hAnsi="Times New Roman" w:cs="Times New Roman"/>
                      <w:lang w:val="en-US" w:eastAsia="zh-CN"/>
                    </w:rPr>
                    <w:t>项目</w:t>
                  </w:r>
                  <w:r>
                    <w:rPr>
                      <w:rFonts w:hint="eastAsia" w:cs="Times New Roman"/>
                      <w:lang w:val="en-US" w:eastAsia="zh-CN"/>
                    </w:rPr>
                    <w:t>配套环保设施</w:t>
                  </w:r>
                  <w:r>
                    <w:rPr>
                      <w:rFonts w:hint="eastAsia" w:ascii="Times New Roman" w:hAnsi="Times New Roman" w:cs="Times New Roman"/>
                      <w:lang w:val="en-US" w:eastAsia="zh-CN"/>
                    </w:rPr>
                    <w:t>，已通过竣工环境保护验收，可满足新增要求</w:t>
                  </w:r>
                  <w:r>
                    <w:rPr>
                      <w:rFonts w:hint="default" w:ascii="Times New Roman" w:hAnsi="Times New Roman" w:cs="Times New Roman"/>
                      <w:color w:val="000000" w:themeColor="text1"/>
                      <w:lang w:val="en-US" w:eastAsia="zh-CN"/>
                    </w:rPr>
                    <w:t>，</w:t>
                  </w:r>
                  <w:r>
                    <w:rPr>
                      <w:rFonts w:hint="eastAsia" w:cs="Times New Roman"/>
                      <w:lang w:val="en-US" w:eastAsia="zh-CN"/>
                    </w:rPr>
                    <w:t>暂存于排污池，</w:t>
                  </w:r>
                  <w:r>
                    <w:rPr>
                      <w:rFonts w:hint="eastAsia" w:cs="Times New Roman"/>
                      <w:color w:val="000000" w:themeColor="text1"/>
                    </w:rPr>
                    <w:t>由</w:t>
                  </w:r>
                  <w:r>
                    <w:rPr>
                      <w:rFonts w:hint="eastAsia" w:cs="Times New Roman"/>
                      <w:color w:val="000000" w:themeColor="text1"/>
                      <w:lang w:val="en-US" w:eastAsia="zh-CN"/>
                    </w:rPr>
                    <w:t>山西中材桃园环保科技有限公司</w:t>
                  </w:r>
                  <w:r>
                    <w:rPr>
                      <w:rFonts w:hint="eastAsia" w:cs="Times New Roman"/>
                      <w:color w:val="000000" w:themeColor="text1"/>
                    </w:rPr>
                    <w:t>进行合理处置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restart"/>
                  <w:shd w:val="clear" w:color="auto" w:fill="auto"/>
                  <w:vAlign w:val="center"/>
                </w:tcPr>
                <w:p>
                  <w:pPr>
                    <w:pStyle w:val="89"/>
                    <w:rPr>
                      <w:rFonts w:hint="eastAsia" w:eastAsia="宋体" w:cs="Times New Roman"/>
                      <w:lang w:eastAsia="zh-CN"/>
                    </w:rPr>
                  </w:pPr>
                  <w:r>
                    <w:rPr>
                      <w:rFonts w:hint="eastAsia" w:cs="Times New Roman"/>
                      <w:lang w:val="en-US" w:eastAsia="zh-CN"/>
                    </w:rPr>
                    <w:t>噪声</w:t>
                  </w:r>
                </w:p>
              </w:tc>
              <w:tc>
                <w:tcPr>
                  <w:tcW w:w="915" w:type="dxa"/>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施工期</w:t>
                  </w:r>
                </w:p>
              </w:tc>
              <w:tc>
                <w:tcPr>
                  <w:tcW w:w="1020" w:type="dxa"/>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机械噪声</w:t>
                  </w:r>
                </w:p>
              </w:tc>
              <w:tc>
                <w:tcPr>
                  <w:tcW w:w="3331" w:type="dxa"/>
                  <w:vAlign w:val="center"/>
                </w:tcPr>
                <w:p>
                  <w:pPr>
                    <w:pStyle w:val="89"/>
                    <w:rPr>
                      <w:rFonts w:cs="Times New Roman"/>
                      <w:color w:val="000000" w:themeColor="text1"/>
                    </w:rPr>
                  </w:pPr>
                  <w:r>
                    <w:rPr>
                      <w:rFonts w:ascii="Times New Roman" w:hAnsi="Times New Roman" w:eastAsia="宋体" w:cs="Times New Roman"/>
                      <w:bCs/>
                      <w:kern w:val="2"/>
                      <w:sz w:val="21"/>
                      <w:szCs w:val="21"/>
                      <w:lang w:val="en-US" w:eastAsia="zh-CN" w:bidi="ar-SA"/>
                    </w:rPr>
                    <w:t>遮挡、限速、低噪声、禁止夜间施工</w:t>
                  </w:r>
                </w:p>
              </w:tc>
              <w:tc>
                <w:tcPr>
                  <w:tcW w:w="3267" w:type="dxa"/>
                  <w:vAlign w:val="center"/>
                </w:tcPr>
                <w:p>
                  <w:pPr>
                    <w:pStyle w:val="89"/>
                    <w:rPr>
                      <w:rFonts w:cs="Times New Roman"/>
                      <w:color w:val="000000" w:themeColor="text1"/>
                    </w:rPr>
                  </w:pPr>
                  <w:r>
                    <w:rPr>
                      <w:rFonts w:hint="eastAsia" w:cs="Times New Roman"/>
                      <w:color w:val="000000" w:themeColor="text1"/>
                    </w:rPr>
                    <w:t>管道沿线村庄200m范围内夜间不施工；运输车聊进入敏感点附近减速慢行，禁止鸣笛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Merge w:val="continue"/>
                  <w:shd w:val="clear" w:color="auto" w:fill="auto"/>
                  <w:vAlign w:val="center"/>
                </w:tcPr>
                <w:p>
                  <w:pPr>
                    <w:pStyle w:val="89"/>
                    <w:rPr>
                      <w:rFonts w:hint="eastAsia" w:cs="Times New Roman"/>
                      <w:lang w:val="en-US" w:eastAsia="zh-CN"/>
                    </w:rPr>
                  </w:pPr>
                </w:p>
              </w:tc>
              <w:tc>
                <w:tcPr>
                  <w:tcW w:w="915" w:type="dxa"/>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运营期</w:t>
                  </w:r>
                </w:p>
              </w:tc>
              <w:tc>
                <w:tcPr>
                  <w:tcW w:w="1020" w:type="dxa"/>
                  <w:vAlign w:val="center"/>
                </w:tcPr>
                <w:p>
                  <w:pPr>
                    <w:pStyle w:val="89"/>
                    <w:ind w:firstLine="0" w:firstLineChars="0"/>
                    <w:rPr>
                      <w:rFonts w:hint="eastAsia" w:cs="Times New Roman"/>
                      <w:color w:val="000000" w:themeColor="text1"/>
                      <w:lang w:val="en-US" w:eastAsia="zh-CN"/>
                    </w:rPr>
                  </w:pPr>
                  <w:r>
                    <w:rPr>
                      <w:rFonts w:hint="eastAsia" w:cs="Times New Roman"/>
                    </w:rPr>
                    <w:t>站场内调压计</w:t>
                  </w:r>
                </w:p>
              </w:tc>
              <w:tc>
                <w:tcPr>
                  <w:tcW w:w="3331" w:type="dxa"/>
                  <w:vAlign w:val="center"/>
                </w:tcPr>
                <w:p>
                  <w:pPr>
                    <w:pStyle w:val="89"/>
                    <w:ind w:firstLine="0" w:firstLineChars="0"/>
                    <w:rPr>
                      <w:rFonts w:ascii="Times New Roman" w:hAnsi="Times New Roman" w:eastAsia="宋体" w:cs="Times New Roman"/>
                      <w:bCs/>
                      <w:kern w:val="2"/>
                      <w:sz w:val="21"/>
                      <w:szCs w:val="21"/>
                      <w:lang w:val="en-US" w:eastAsia="zh-CN" w:bidi="ar-SA"/>
                    </w:rPr>
                  </w:pPr>
                  <w:r>
                    <w:rPr>
                      <w:rFonts w:hint="eastAsia" w:cs="Times New Roman"/>
                      <w:color w:val="000000" w:themeColor="text1"/>
                    </w:rPr>
                    <w:t>选用低噪声设备</w:t>
                  </w:r>
                </w:p>
              </w:tc>
              <w:tc>
                <w:tcPr>
                  <w:tcW w:w="3267" w:type="dxa"/>
                  <w:vAlign w:val="center"/>
                </w:tcPr>
                <w:p>
                  <w:pPr>
                    <w:pStyle w:val="89"/>
                    <w:rPr>
                      <w:rFonts w:hint="eastAsia" w:cs="Times New Roman"/>
                      <w:color w:val="000000" w:themeColor="text1"/>
                    </w:rPr>
                  </w:pPr>
                  <w:r>
                    <w:rPr>
                      <w:rFonts w:hint="eastAsia" w:cs="Times New Roman"/>
                      <w:color w:val="000000" w:themeColor="text1"/>
                    </w:rPr>
                    <w:t>选用低噪声设备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816" w:type="dxa"/>
                  <w:shd w:val="clear" w:color="auto" w:fill="auto"/>
                  <w:vAlign w:val="center"/>
                </w:tcPr>
                <w:p>
                  <w:pPr>
                    <w:pStyle w:val="89"/>
                    <w:rPr>
                      <w:rFonts w:cs="Times New Roman"/>
                    </w:rPr>
                  </w:pPr>
                  <w:r>
                    <w:rPr>
                      <w:rFonts w:cs="Times New Roman"/>
                    </w:rPr>
                    <w:t>生态环境</w:t>
                  </w:r>
                </w:p>
              </w:tc>
              <w:tc>
                <w:tcPr>
                  <w:tcW w:w="915" w:type="dxa"/>
                  <w:vAlign w:val="center"/>
                </w:tcPr>
                <w:p>
                  <w:pPr>
                    <w:pStyle w:val="89"/>
                    <w:rPr>
                      <w:rFonts w:hint="eastAsia" w:eastAsia="宋体" w:cs="Times New Roman"/>
                      <w:lang w:val="en-US" w:eastAsia="zh-CN"/>
                    </w:rPr>
                  </w:pPr>
                  <w:r>
                    <w:rPr>
                      <w:rFonts w:hint="eastAsia" w:cs="Times New Roman"/>
                      <w:lang w:val="en-US" w:eastAsia="zh-CN"/>
                    </w:rPr>
                    <w:t>施工期</w:t>
                  </w:r>
                </w:p>
              </w:tc>
              <w:tc>
                <w:tcPr>
                  <w:tcW w:w="1020" w:type="dxa"/>
                  <w:vAlign w:val="center"/>
                </w:tcPr>
                <w:p>
                  <w:pPr>
                    <w:pStyle w:val="89"/>
                    <w:rPr>
                      <w:rFonts w:cs="Times New Roman"/>
                    </w:rPr>
                  </w:pPr>
                  <w:r>
                    <w:rPr>
                      <w:rFonts w:cs="Times New Roman"/>
                    </w:rPr>
                    <w:t>生态恢复</w:t>
                  </w:r>
                </w:p>
              </w:tc>
              <w:tc>
                <w:tcPr>
                  <w:tcW w:w="3331" w:type="dxa"/>
                  <w:vAlign w:val="center"/>
                </w:tcPr>
                <w:p>
                  <w:pPr>
                    <w:pStyle w:val="89"/>
                    <w:rPr>
                      <w:rFonts w:cs="Times New Roman"/>
                    </w:rPr>
                  </w:pPr>
                  <w:r>
                    <w:rPr>
                      <w:rFonts w:cs="Times New Roman"/>
                    </w:rPr>
                    <w:t>项目施工完后对临时占地全部进行生态恢复</w:t>
                  </w:r>
                </w:p>
              </w:tc>
              <w:tc>
                <w:tcPr>
                  <w:tcW w:w="3267" w:type="dxa"/>
                  <w:vAlign w:val="center"/>
                </w:tcPr>
                <w:p>
                  <w:pPr>
                    <w:pStyle w:val="89"/>
                    <w:rPr>
                      <w:rFonts w:cs="Times New Roman"/>
                    </w:rPr>
                  </w:pPr>
                  <w:r>
                    <w:rPr>
                      <w:rFonts w:cs="Times New Roman"/>
                    </w:rPr>
                    <w:t>项目施工完后对临时占地全部进行</w:t>
                  </w:r>
                  <w:r>
                    <w:rPr>
                      <w:rFonts w:hint="eastAsia" w:cs="Times New Roman"/>
                      <w:lang w:val="en-US" w:eastAsia="zh-CN"/>
                    </w:rPr>
                    <w:t>了</w:t>
                  </w:r>
                  <w:r>
                    <w:rPr>
                      <w:rFonts w:cs="Times New Roman"/>
                    </w:rPr>
                    <w:t>生态恢复</w:t>
                  </w:r>
                </w:p>
              </w:tc>
            </w:tr>
          </w:tbl>
          <w:p>
            <w:pPr>
              <w:spacing w:line="460" w:lineRule="exact"/>
              <w:rPr>
                <w:rFonts w:hint="eastAsia" w:eastAsia="宋体"/>
                <w:b/>
                <w:color w:val="000000" w:themeColor="text1"/>
                <w:sz w:val="24"/>
                <w:lang w:eastAsia="zh-CN"/>
              </w:rPr>
            </w:pPr>
            <w:r>
              <w:rPr>
                <w:b/>
                <w:color w:val="000000" w:themeColor="text1"/>
                <w:sz w:val="24"/>
              </w:rPr>
              <w:t>环评中提出</w:t>
            </w:r>
            <w:r>
              <w:rPr>
                <w:rFonts w:hint="eastAsia"/>
                <w:b/>
                <w:color w:val="000000" w:themeColor="text1"/>
                <w:sz w:val="24"/>
              </w:rPr>
              <w:t>的建设项目竣工环境保护验收一览表完成情况</w:t>
            </w:r>
            <w:r>
              <w:rPr>
                <w:rFonts w:hint="eastAsia"/>
                <w:b/>
                <w:color w:val="000000" w:themeColor="text1"/>
                <w:sz w:val="24"/>
                <w:lang w:eastAsia="zh-CN"/>
              </w:rPr>
              <w:t>：</w:t>
            </w:r>
          </w:p>
          <w:p>
            <w:pPr>
              <w:pStyle w:val="86"/>
              <w:ind w:firstLine="0" w:firstLineChars="0"/>
              <w:jc w:val="center"/>
              <w:rPr>
                <w:rFonts w:cs="Times New Roman"/>
                <w:b/>
                <w:color w:val="000000" w:themeColor="text1"/>
                <w:sz w:val="21"/>
                <w:szCs w:val="21"/>
              </w:rPr>
            </w:pPr>
            <w:r>
              <w:rPr>
                <w:rFonts w:cs="Times New Roman"/>
                <w:b/>
                <w:sz w:val="21"/>
                <w:szCs w:val="21"/>
              </w:rPr>
              <w:t>表6-</w:t>
            </w:r>
            <w:r>
              <w:rPr>
                <w:rFonts w:hint="eastAsia" w:cs="Times New Roman"/>
                <w:b/>
                <w:sz w:val="21"/>
                <w:szCs w:val="21"/>
                <w:lang w:val="en-US" w:eastAsia="zh-CN"/>
              </w:rPr>
              <w:t>2</w:t>
            </w:r>
            <w:r>
              <w:rPr>
                <w:rFonts w:cs="Times New Roman"/>
                <w:b/>
                <w:sz w:val="21"/>
                <w:szCs w:val="21"/>
              </w:rPr>
              <w:t xml:space="preserve"> </w:t>
            </w:r>
            <w:r>
              <w:rPr>
                <w:rFonts w:cs="Times New Roman"/>
                <w:b/>
                <w:color w:val="000000" w:themeColor="text1"/>
                <w:sz w:val="21"/>
                <w:szCs w:val="21"/>
              </w:rPr>
              <w:t>环评提出的环保措施</w:t>
            </w:r>
            <w:r>
              <w:rPr>
                <w:rFonts w:hint="eastAsia" w:cs="Times New Roman"/>
                <w:b/>
                <w:color w:val="000000" w:themeColor="text1"/>
                <w:sz w:val="21"/>
                <w:szCs w:val="21"/>
                <w:lang w:val="en-US" w:eastAsia="zh-CN"/>
              </w:rPr>
              <w:t>完成</w:t>
            </w:r>
            <w:r>
              <w:rPr>
                <w:rFonts w:cs="Times New Roman"/>
                <w:b/>
                <w:color w:val="000000" w:themeColor="text1"/>
                <w:sz w:val="21"/>
                <w:szCs w:val="21"/>
              </w:rPr>
              <w:t>情况</w:t>
            </w:r>
          </w:p>
          <w:tbl>
            <w:tblPr>
              <w:tblStyle w:val="32"/>
              <w:tblW w:w="91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474"/>
              <w:gridCol w:w="474"/>
              <w:gridCol w:w="1384"/>
              <w:gridCol w:w="3119"/>
              <w:gridCol w:w="371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48" w:type="dxa"/>
                  <w:gridSpan w:val="2"/>
                  <w:vAlign w:val="center"/>
                </w:tcPr>
                <w:p>
                  <w:pPr>
                    <w:pStyle w:val="89"/>
                    <w:rPr>
                      <w:rFonts w:cs="Times New Roman"/>
                    </w:rPr>
                  </w:pPr>
                  <w:r>
                    <w:rPr>
                      <w:rFonts w:cs="Times New Roman"/>
                    </w:rPr>
                    <w:t>项目</w:t>
                  </w:r>
                </w:p>
              </w:tc>
              <w:tc>
                <w:tcPr>
                  <w:tcW w:w="1384" w:type="dxa"/>
                  <w:tcBorders>
                    <w:right w:val="single" w:color="auto" w:sz="4" w:space="0"/>
                  </w:tcBorders>
                  <w:vAlign w:val="center"/>
                </w:tcPr>
                <w:p>
                  <w:pPr>
                    <w:pStyle w:val="89"/>
                    <w:rPr>
                      <w:rFonts w:cs="Times New Roman"/>
                    </w:rPr>
                  </w:pPr>
                  <w:r>
                    <w:rPr>
                      <w:rFonts w:cs="Times New Roman"/>
                    </w:rPr>
                    <w:t>污染物</w:t>
                  </w:r>
                </w:p>
              </w:tc>
              <w:tc>
                <w:tcPr>
                  <w:tcW w:w="3119" w:type="dxa"/>
                  <w:tcBorders>
                    <w:left w:val="single" w:color="auto" w:sz="4" w:space="0"/>
                    <w:right w:val="single" w:color="auto" w:sz="4" w:space="0"/>
                  </w:tcBorders>
                  <w:vAlign w:val="center"/>
                </w:tcPr>
                <w:p>
                  <w:pPr>
                    <w:pStyle w:val="89"/>
                    <w:rPr>
                      <w:rFonts w:cs="Times New Roman"/>
                    </w:rPr>
                  </w:pPr>
                  <w:r>
                    <w:rPr>
                      <w:rFonts w:hint="eastAsia" w:cs="Times New Roman"/>
                    </w:rPr>
                    <w:t>环评要求的</w:t>
                  </w:r>
                  <w:r>
                    <w:rPr>
                      <w:rFonts w:cs="Times New Roman"/>
                    </w:rPr>
                    <w:t>防治措施</w:t>
                  </w:r>
                </w:p>
              </w:tc>
              <w:tc>
                <w:tcPr>
                  <w:tcW w:w="3717" w:type="dxa"/>
                  <w:tcBorders>
                    <w:left w:val="single" w:color="auto" w:sz="4" w:space="0"/>
                  </w:tcBorders>
                  <w:vAlign w:val="center"/>
                </w:tcPr>
                <w:p>
                  <w:pPr>
                    <w:pStyle w:val="89"/>
                    <w:rPr>
                      <w:rFonts w:cs="Times New Roman"/>
                    </w:rPr>
                  </w:pPr>
                  <w:r>
                    <w:rPr>
                      <w:rFonts w:hint="eastAsia" w:cs="Times New Roman"/>
                    </w:rPr>
                    <w:t>实际建设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48" w:type="dxa"/>
                  <w:gridSpan w:val="2"/>
                  <w:vAlign w:val="center"/>
                </w:tcPr>
                <w:p>
                  <w:pPr>
                    <w:pStyle w:val="89"/>
                    <w:rPr>
                      <w:rFonts w:cs="Times New Roman"/>
                      <w:color w:val="000000" w:themeColor="text1"/>
                    </w:rPr>
                  </w:pPr>
                  <w:r>
                    <w:rPr>
                      <w:rFonts w:cs="Times New Roman"/>
                      <w:color w:val="000000" w:themeColor="text1"/>
                    </w:rPr>
                    <w:t>废气</w:t>
                  </w: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清管燃气（火炬排放）</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依托站场原有点火放空火炬，25m的排气筒</w:t>
                  </w:r>
                </w:p>
              </w:tc>
              <w:tc>
                <w:tcPr>
                  <w:tcW w:w="3717" w:type="dxa"/>
                  <w:tcBorders>
                    <w:left w:val="single" w:color="auto" w:sz="4" w:space="0"/>
                  </w:tcBorders>
                  <w:vAlign w:val="center"/>
                </w:tcPr>
                <w:p>
                  <w:pPr>
                    <w:pStyle w:val="89"/>
                    <w:rPr>
                      <w:rFonts w:hint="eastAsia" w:eastAsia="宋体" w:cs="Times New Roman"/>
                      <w:lang w:val="en-US" w:eastAsia="zh-CN"/>
                    </w:rPr>
                  </w:pPr>
                  <w:r>
                    <w:rPr>
                      <w:rFonts w:hint="eastAsia" w:cs="Times New Roman"/>
                      <w:lang w:val="en-US" w:eastAsia="zh-CN"/>
                    </w:rPr>
                    <w:t>经站场原有点火放空火炬，通过25m高的排气筒排放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48" w:type="dxa"/>
                  <w:gridSpan w:val="2"/>
                  <w:vMerge w:val="restart"/>
                  <w:vAlign w:val="center"/>
                </w:tcPr>
                <w:p>
                  <w:pPr>
                    <w:pStyle w:val="89"/>
                    <w:rPr>
                      <w:rFonts w:cs="Times New Roman"/>
                      <w:color w:val="000000" w:themeColor="text1"/>
                    </w:rPr>
                  </w:pPr>
                  <w:r>
                    <w:rPr>
                      <w:rFonts w:cs="Times New Roman"/>
                      <w:color w:val="000000" w:themeColor="text1"/>
                    </w:rPr>
                    <w:t>废水</w:t>
                  </w: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擦拭废水</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泼洒抑尘</w:t>
                  </w:r>
                </w:p>
              </w:tc>
              <w:tc>
                <w:tcPr>
                  <w:tcW w:w="3717" w:type="dxa"/>
                  <w:tcBorders>
                    <w:left w:val="single" w:color="auto" w:sz="4" w:space="0"/>
                  </w:tcBorders>
                  <w:vAlign w:val="center"/>
                </w:tcPr>
                <w:p>
                  <w:pPr>
                    <w:pStyle w:val="89"/>
                    <w:rPr>
                      <w:rFonts w:hint="eastAsia" w:eastAsia="宋体" w:cs="Times New Roman"/>
                      <w:lang w:val="en-US" w:eastAsia="zh-CN"/>
                    </w:rPr>
                  </w:pPr>
                  <w:r>
                    <w:rPr>
                      <w:rFonts w:hint="eastAsia" w:cs="Times New Roman"/>
                      <w:lang w:val="en-US" w:eastAsia="zh-CN"/>
                    </w:rPr>
                    <w:t>收集后泼洒抑尘</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48" w:type="dxa"/>
                  <w:gridSpan w:val="2"/>
                  <w:vMerge w:val="continue"/>
                  <w:vAlign w:val="center"/>
                </w:tcPr>
                <w:p>
                  <w:pPr>
                    <w:pStyle w:val="89"/>
                    <w:rPr>
                      <w:rFonts w:cs="Times New Roman"/>
                      <w:color w:val="FF0000"/>
                    </w:rPr>
                  </w:pP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检修废水</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排入站场排污池，由</w:t>
                  </w:r>
                  <w:r>
                    <w:rPr>
                      <w:rFonts w:hint="eastAsia" w:cs="Times New Roman"/>
                      <w:color w:val="auto"/>
                      <w:lang w:val="en-US" w:eastAsia="zh-CN"/>
                    </w:rPr>
                    <w:t>山西松兰环保科技有限公司</w:t>
                  </w:r>
                  <w:r>
                    <w:rPr>
                      <w:rFonts w:cs="Times New Roman"/>
                      <w:color w:val="auto"/>
                    </w:rPr>
                    <w:t>定期清运</w:t>
                  </w:r>
                </w:p>
              </w:tc>
              <w:tc>
                <w:tcPr>
                  <w:tcW w:w="3717" w:type="dxa"/>
                  <w:tcBorders>
                    <w:left w:val="single" w:color="auto" w:sz="4" w:space="0"/>
                  </w:tcBorders>
                  <w:vAlign w:val="center"/>
                </w:tcPr>
                <w:p>
                  <w:pPr>
                    <w:pStyle w:val="89"/>
                    <w:rPr>
                      <w:rFonts w:hint="eastAsia" w:eastAsia="宋体" w:cs="Times New Roman"/>
                      <w:lang w:eastAsia="zh-CN"/>
                    </w:rPr>
                  </w:pPr>
                  <w:r>
                    <w:rPr>
                      <w:rFonts w:hint="eastAsia" w:cs="Times New Roman"/>
                      <w:color w:val="000000" w:themeColor="text1"/>
                      <w:lang w:val="en-US" w:eastAsia="zh-CN"/>
                    </w:rPr>
                    <w:t>依托</w:t>
                  </w:r>
                  <w:r>
                    <w:rPr>
                      <w:rFonts w:hint="default" w:ascii="Times New Roman" w:hAnsi="Times New Roman" w:cs="Times New Roman"/>
                      <w:color w:val="000000" w:themeColor="text1"/>
                      <w:lang w:val="en-US" w:eastAsia="zh-CN"/>
                    </w:rPr>
                    <w:t>站场原有70m</w:t>
                  </w:r>
                  <w:r>
                    <w:rPr>
                      <w:rFonts w:hint="default" w:ascii="Times New Roman" w:hAnsi="Times New Roman" w:cs="Times New Roman"/>
                      <w:color w:val="000000" w:themeColor="text1"/>
                      <w:vertAlign w:val="superscript"/>
                      <w:lang w:val="en-US" w:eastAsia="zh-CN"/>
                    </w:rPr>
                    <w:t>3</w:t>
                  </w:r>
                  <w:r>
                    <w:rPr>
                      <w:rFonts w:hint="default" w:ascii="Times New Roman" w:hAnsi="Times New Roman" w:cs="Times New Roman"/>
                      <w:color w:val="000000" w:themeColor="text1"/>
                      <w:lang w:val="en-US" w:eastAsia="zh-CN"/>
                    </w:rPr>
                    <w:t>排污池</w:t>
                  </w:r>
                  <w:r>
                    <w:rPr>
                      <w:rFonts w:hint="eastAsia" w:cs="Times New Roman"/>
                      <w:color w:val="000000" w:themeColor="text1"/>
                      <w:lang w:val="en-US" w:eastAsia="zh-CN"/>
                    </w:rPr>
                    <w:t>，</w:t>
                  </w:r>
                  <w:r>
                    <w:rPr>
                      <w:rFonts w:hint="eastAsia" w:ascii="Times New Roman" w:hAnsi="Times New Roman" w:cs="Times New Roman"/>
                      <w:lang w:val="en-US" w:eastAsia="zh-CN"/>
                    </w:rPr>
                    <w:t>排污池属于</w:t>
                  </w:r>
                  <w:r>
                    <w:rPr>
                      <w:rFonts w:hint="default" w:ascii="Times New Roman" w:hAnsi="Times New Roman" w:cs="Times New Roman"/>
                      <w:lang w:val="en-US" w:eastAsia="zh-CN"/>
                    </w:rPr>
                    <w:t>山西天然气有限公司保德——三岔天然气输气管线工程</w:t>
                  </w:r>
                  <w:r>
                    <w:rPr>
                      <w:rFonts w:hint="eastAsia" w:ascii="Times New Roman" w:hAnsi="Times New Roman" w:cs="Times New Roman"/>
                      <w:lang w:val="en-US" w:eastAsia="zh-CN"/>
                    </w:rPr>
                    <w:t>项目</w:t>
                  </w:r>
                  <w:r>
                    <w:rPr>
                      <w:rFonts w:hint="eastAsia" w:cs="Times New Roman"/>
                      <w:lang w:val="en-US" w:eastAsia="zh-CN"/>
                    </w:rPr>
                    <w:t>配套环保设施</w:t>
                  </w:r>
                  <w:r>
                    <w:rPr>
                      <w:rFonts w:hint="eastAsia" w:ascii="Times New Roman" w:hAnsi="Times New Roman" w:cs="Times New Roman"/>
                      <w:lang w:val="en-US" w:eastAsia="zh-CN"/>
                    </w:rPr>
                    <w:t>，已通过竣工环境保护验收，可满足新增要求</w:t>
                  </w:r>
                  <w:r>
                    <w:rPr>
                      <w:rFonts w:hint="default" w:ascii="Times New Roman" w:hAnsi="Times New Roman" w:cs="Times New Roman"/>
                      <w:color w:val="000000" w:themeColor="text1"/>
                      <w:lang w:val="en-US" w:eastAsia="zh-CN"/>
                    </w:rPr>
                    <w:t>，</w:t>
                  </w:r>
                  <w:r>
                    <w:rPr>
                      <w:rFonts w:hint="eastAsia" w:cs="Times New Roman"/>
                      <w:color w:val="000000" w:themeColor="text1"/>
                      <w:lang w:val="en-US" w:eastAsia="zh-CN"/>
                    </w:rPr>
                    <w:t>排入排污池，</w:t>
                  </w:r>
                  <w:r>
                    <w:rPr>
                      <w:rFonts w:hint="default" w:ascii="Times New Roman" w:hAnsi="Times New Roman" w:cs="Times New Roman"/>
                      <w:color w:val="000000" w:themeColor="text1"/>
                    </w:rPr>
                    <w:t>由</w:t>
                  </w:r>
                  <w:r>
                    <w:rPr>
                      <w:rFonts w:hint="default" w:ascii="Times New Roman" w:hAnsi="Times New Roman" w:cs="Times New Roman"/>
                      <w:color w:val="000000" w:themeColor="text1"/>
                      <w:lang w:val="en-US" w:eastAsia="zh-CN"/>
                    </w:rPr>
                    <w:t>山西中材桃园环保科技有限公司</w:t>
                  </w:r>
                  <w:r>
                    <w:rPr>
                      <w:rFonts w:hint="default" w:ascii="Times New Roman" w:hAnsi="Times New Roman" w:cs="Times New Roman"/>
                      <w:color w:val="000000" w:themeColor="text1"/>
                    </w:rPr>
                    <w:t>进行合理处置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74" w:type="dxa"/>
                  <w:vMerge w:val="restart"/>
                  <w:vAlign w:val="center"/>
                </w:tcPr>
                <w:p>
                  <w:pPr>
                    <w:pStyle w:val="89"/>
                    <w:rPr>
                      <w:rFonts w:cs="Times New Roman"/>
                      <w:color w:val="000000" w:themeColor="text1"/>
                    </w:rPr>
                  </w:pPr>
                  <w:r>
                    <w:rPr>
                      <w:rFonts w:cs="Times New Roman"/>
                      <w:color w:val="000000" w:themeColor="text1"/>
                    </w:rPr>
                    <w:t>固废</w:t>
                  </w:r>
                </w:p>
              </w:tc>
              <w:tc>
                <w:tcPr>
                  <w:tcW w:w="474" w:type="dxa"/>
                  <w:vMerge w:val="restart"/>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一般固废</w:t>
                  </w: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弃土、弃渣</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单位长度（m）会产生多余的土方量为0.43m</w:t>
                  </w:r>
                  <w:r>
                    <w:rPr>
                      <w:rFonts w:cs="Times New Roman"/>
                      <w:color w:val="000000" w:themeColor="text1"/>
                      <w:vertAlign w:val="superscript"/>
                    </w:rPr>
                    <w:t>3</w:t>
                  </w:r>
                  <w:r>
                    <w:rPr>
                      <w:rFonts w:cs="Times New Roman"/>
                      <w:color w:val="000000" w:themeColor="text1"/>
                    </w:rPr>
                    <w:t>，多余弃土在管道两侧各3.5m的范围内进行消化；弃渣以及清管粉尘送至建筑垃圾填埋场</w:t>
                  </w:r>
                </w:p>
              </w:tc>
              <w:tc>
                <w:tcPr>
                  <w:tcW w:w="3717" w:type="dxa"/>
                  <w:tcBorders>
                    <w:left w:val="single" w:color="auto" w:sz="4" w:space="0"/>
                  </w:tcBorders>
                  <w:vAlign w:val="center"/>
                </w:tcPr>
                <w:p>
                  <w:pPr>
                    <w:pStyle w:val="89"/>
                    <w:rPr>
                      <w:rFonts w:hint="eastAsia" w:eastAsia="宋体" w:cs="Times New Roman"/>
                      <w:lang w:val="en-US" w:eastAsia="zh-CN"/>
                    </w:rPr>
                  </w:pPr>
                  <w:r>
                    <w:rPr>
                      <w:rFonts w:hint="eastAsia" w:cs="Times New Roman"/>
                      <w:color w:val="auto"/>
                      <w:lang w:val="en-US" w:eastAsia="zh-CN"/>
                    </w:rPr>
                    <w:t>多余弃土在管道两侧进行了消化，现场未见多余土方量；弃渣以及清管粉尘送至</w:t>
                  </w:r>
                  <w:r>
                    <w:rPr>
                      <w:rFonts w:hint="eastAsia" w:cs="Times New Roman"/>
                      <w:color w:val="auto"/>
                    </w:rPr>
                    <w:t>环保部门指定的固体废物填埋场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74" w:type="dxa"/>
                  <w:vMerge w:val="continue"/>
                  <w:vAlign w:val="center"/>
                </w:tcPr>
                <w:p>
                  <w:pPr>
                    <w:pStyle w:val="89"/>
                    <w:rPr>
                      <w:rFonts w:cs="Times New Roman"/>
                      <w:color w:val="000000" w:themeColor="text1"/>
                    </w:rPr>
                  </w:pPr>
                </w:p>
              </w:tc>
              <w:tc>
                <w:tcPr>
                  <w:tcW w:w="474" w:type="dxa"/>
                  <w:vMerge w:val="continue"/>
                  <w:vAlign w:val="center"/>
                </w:tcPr>
                <w:p>
                  <w:pPr>
                    <w:pStyle w:val="89"/>
                    <w:rPr>
                      <w:rFonts w:cs="Times New Roman"/>
                      <w:color w:val="000000" w:themeColor="text1"/>
                    </w:rPr>
                  </w:pP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施工废料</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废焊条、废防腐材料等统一收集外售</w:t>
                  </w:r>
                </w:p>
              </w:tc>
              <w:tc>
                <w:tcPr>
                  <w:tcW w:w="3717" w:type="dxa"/>
                  <w:tcBorders>
                    <w:left w:val="single" w:color="auto" w:sz="4" w:space="0"/>
                  </w:tcBorders>
                  <w:vAlign w:val="center"/>
                </w:tcPr>
                <w:p>
                  <w:pPr>
                    <w:pStyle w:val="89"/>
                    <w:rPr>
                      <w:rFonts w:cs="Times New Roman"/>
                    </w:rPr>
                  </w:pPr>
                  <w:r>
                    <w:rPr>
                      <w:rFonts w:cs="Times New Roman"/>
                      <w:color w:val="000000" w:themeColor="text1"/>
                    </w:rPr>
                    <w:t>废焊条、废防腐材料等统一收集</w:t>
                  </w:r>
                  <w:r>
                    <w:rPr>
                      <w:rFonts w:hint="eastAsia" w:cs="Times New Roman"/>
                      <w:color w:val="000000" w:themeColor="text1"/>
                      <w:lang w:val="en-US" w:eastAsia="zh-CN"/>
                    </w:rPr>
                    <w:t>后</w:t>
                  </w:r>
                  <w:r>
                    <w:rPr>
                      <w:rFonts w:cs="Times New Roman"/>
                      <w:color w:val="000000" w:themeColor="text1"/>
                    </w:rPr>
                    <w:t>外售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74" w:type="dxa"/>
                  <w:vMerge w:val="continue"/>
                  <w:vAlign w:val="center"/>
                </w:tcPr>
                <w:p>
                  <w:pPr>
                    <w:pStyle w:val="89"/>
                    <w:rPr>
                      <w:rFonts w:cs="Times New Roman"/>
                      <w:color w:val="000000" w:themeColor="text1"/>
                    </w:rPr>
                  </w:pPr>
                </w:p>
              </w:tc>
              <w:tc>
                <w:tcPr>
                  <w:tcW w:w="474" w:type="dxa"/>
                  <w:vMerge w:val="continue"/>
                  <w:vAlign w:val="center"/>
                </w:tcPr>
                <w:p>
                  <w:pPr>
                    <w:pStyle w:val="89"/>
                    <w:rPr>
                      <w:rFonts w:cs="Times New Roman"/>
                      <w:color w:val="000000" w:themeColor="text1"/>
                    </w:rPr>
                  </w:pP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清管、检修废渣</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集中收集，可外售综合利用于炼铁</w:t>
                  </w:r>
                </w:p>
              </w:tc>
              <w:tc>
                <w:tcPr>
                  <w:tcW w:w="3717" w:type="dxa"/>
                  <w:tcBorders>
                    <w:left w:val="single" w:color="auto" w:sz="4" w:space="0"/>
                  </w:tcBorders>
                  <w:vAlign w:val="center"/>
                </w:tcPr>
                <w:p>
                  <w:pPr>
                    <w:pStyle w:val="89"/>
                    <w:rPr>
                      <w:rFonts w:hint="eastAsia" w:eastAsia="宋体" w:cs="Times New Roman"/>
                      <w:lang w:val="en-US" w:eastAsia="zh-CN"/>
                    </w:rPr>
                  </w:pPr>
                  <w:r>
                    <w:rPr>
                      <w:rFonts w:hint="eastAsia" w:cs="Times New Roman"/>
                      <w:lang w:val="en-US" w:eastAsia="zh-CN"/>
                    </w:rPr>
                    <w:t>集中收集后外售综合利用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474" w:type="dxa"/>
                  <w:vMerge w:val="continue"/>
                  <w:vAlign w:val="center"/>
                </w:tcPr>
                <w:p>
                  <w:pPr>
                    <w:pStyle w:val="89"/>
                    <w:rPr>
                      <w:rFonts w:cs="Times New Roman"/>
                      <w:color w:val="000000" w:themeColor="text1"/>
                    </w:rPr>
                  </w:pPr>
                </w:p>
              </w:tc>
              <w:tc>
                <w:tcPr>
                  <w:tcW w:w="474" w:type="dxa"/>
                  <w:vAlign w:val="center"/>
                </w:tcPr>
                <w:p>
                  <w:pPr>
                    <w:pStyle w:val="89"/>
                    <w:rPr>
                      <w:rFonts w:hint="eastAsia" w:eastAsia="宋体" w:cs="Times New Roman"/>
                      <w:color w:val="000000" w:themeColor="text1"/>
                      <w:lang w:val="en-US" w:eastAsia="zh-CN"/>
                    </w:rPr>
                  </w:pPr>
                  <w:r>
                    <w:rPr>
                      <w:rFonts w:hint="eastAsia" w:cs="Times New Roman"/>
                      <w:color w:val="000000" w:themeColor="text1"/>
                      <w:lang w:val="en-US" w:eastAsia="zh-CN"/>
                    </w:rPr>
                    <w:t>危险废物</w:t>
                  </w:r>
                </w:p>
              </w:tc>
              <w:tc>
                <w:tcPr>
                  <w:tcW w:w="1384" w:type="dxa"/>
                  <w:tcBorders>
                    <w:right w:val="single" w:color="auto" w:sz="4" w:space="0"/>
                  </w:tcBorders>
                  <w:vAlign w:val="center"/>
                </w:tcPr>
                <w:p>
                  <w:pPr>
                    <w:pStyle w:val="89"/>
                    <w:rPr>
                      <w:rFonts w:hint="eastAsia" w:eastAsia="宋体" w:cs="Times New Roman"/>
                      <w:color w:val="000000" w:themeColor="text1"/>
                      <w:lang w:eastAsia="zh-CN"/>
                    </w:rPr>
                  </w:pPr>
                  <w:r>
                    <w:rPr>
                      <w:rFonts w:cs="Times New Roman"/>
                      <w:color w:val="000000" w:themeColor="text1"/>
                    </w:rPr>
                    <w:t>检修废油</w:t>
                  </w:r>
                  <w:r>
                    <w:rPr>
                      <w:rFonts w:hint="eastAsia" w:cs="Times New Roman"/>
                      <w:color w:val="000000" w:themeColor="text1"/>
                      <w:lang w:eastAsia="zh-CN"/>
                    </w:rPr>
                    <w:t>（</w:t>
                  </w:r>
                  <w:r>
                    <w:rPr>
                      <w:rFonts w:hint="eastAsia" w:cs="Times New Roman"/>
                      <w:color w:val="000000" w:themeColor="text1"/>
                      <w:lang w:val="en-US" w:eastAsia="zh-CN"/>
                    </w:rPr>
                    <w:t>HW09</w:t>
                  </w:r>
                  <w:r>
                    <w:rPr>
                      <w:rFonts w:hint="eastAsia" w:cs="Times New Roman"/>
                      <w:color w:val="000000" w:themeColor="text1"/>
                      <w:lang w:eastAsia="zh-CN"/>
                    </w:rPr>
                    <w:t>）</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利用站场原有排污池，将该废油先暂存于排污池内，随产随清，</w:t>
                  </w:r>
                  <w:r>
                    <w:rPr>
                      <w:rFonts w:cs="Times New Roman"/>
                      <w:color w:val="auto"/>
                    </w:rPr>
                    <w:t>由</w:t>
                  </w:r>
                  <w:r>
                    <w:rPr>
                      <w:rFonts w:hint="eastAsia" w:cs="Times New Roman"/>
                      <w:color w:val="auto"/>
                      <w:lang w:val="en-US" w:eastAsia="zh-CN"/>
                    </w:rPr>
                    <w:t>山西松兰环保科技有限公司</w:t>
                  </w:r>
                  <w:r>
                    <w:rPr>
                      <w:rFonts w:cs="Times New Roman"/>
                      <w:color w:val="auto"/>
                    </w:rPr>
                    <w:t>进行合理处置</w:t>
                  </w:r>
                </w:p>
              </w:tc>
              <w:tc>
                <w:tcPr>
                  <w:tcW w:w="3717" w:type="dxa"/>
                  <w:tcBorders>
                    <w:left w:val="single" w:color="auto" w:sz="4" w:space="0"/>
                  </w:tcBorders>
                  <w:vAlign w:val="center"/>
                </w:tcPr>
                <w:p>
                  <w:pPr>
                    <w:pStyle w:val="89"/>
                    <w:rPr>
                      <w:rFonts w:hint="eastAsia" w:eastAsia="宋体" w:cs="Times New Roman"/>
                      <w:lang w:val="en-US" w:eastAsia="zh-CN"/>
                    </w:rPr>
                  </w:pPr>
                  <w:r>
                    <w:rPr>
                      <w:rFonts w:hint="eastAsia" w:cs="Times New Roman"/>
                      <w:color w:val="000000" w:themeColor="text1"/>
                      <w:lang w:val="en-US" w:eastAsia="zh-CN"/>
                    </w:rPr>
                    <w:t>依托</w:t>
                  </w:r>
                  <w:r>
                    <w:rPr>
                      <w:rFonts w:hint="default" w:ascii="Times New Roman" w:hAnsi="Times New Roman" w:cs="Times New Roman"/>
                      <w:color w:val="000000" w:themeColor="text1"/>
                      <w:lang w:val="en-US" w:eastAsia="zh-CN"/>
                    </w:rPr>
                    <w:t>站场原有70m</w:t>
                  </w:r>
                  <w:r>
                    <w:rPr>
                      <w:rFonts w:hint="default" w:ascii="Times New Roman" w:hAnsi="Times New Roman" w:cs="Times New Roman"/>
                      <w:color w:val="000000" w:themeColor="text1"/>
                      <w:vertAlign w:val="superscript"/>
                      <w:lang w:val="en-US" w:eastAsia="zh-CN"/>
                    </w:rPr>
                    <w:t>3</w:t>
                  </w:r>
                  <w:r>
                    <w:rPr>
                      <w:rFonts w:hint="default" w:ascii="Times New Roman" w:hAnsi="Times New Roman" w:cs="Times New Roman"/>
                      <w:color w:val="000000" w:themeColor="text1"/>
                      <w:lang w:val="en-US" w:eastAsia="zh-CN"/>
                    </w:rPr>
                    <w:t>排污池</w:t>
                  </w:r>
                  <w:r>
                    <w:rPr>
                      <w:rFonts w:hint="eastAsia" w:cs="Times New Roman"/>
                      <w:color w:val="000000" w:themeColor="text1"/>
                      <w:lang w:val="en-US" w:eastAsia="zh-CN"/>
                    </w:rPr>
                    <w:t>，</w:t>
                  </w:r>
                  <w:r>
                    <w:rPr>
                      <w:rFonts w:hint="eastAsia" w:ascii="Times New Roman" w:hAnsi="Times New Roman" w:cs="Times New Roman"/>
                      <w:lang w:val="en-US" w:eastAsia="zh-CN"/>
                    </w:rPr>
                    <w:t>排污池属于</w:t>
                  </w:r>
                  <w:r>
                    <w:rPr>
                      <w:rFonts w:hint="default" w:ascii="Times New Roman" w:hAnsi="Times New Roman" w:cs="Times New Roman"/>
                      <w:lang w:val="en-US" w:eastAsia="zh-CN"/>
                    </w:rPr>
                    <w:t>山西天然气有限公司保德——三岔天然气输气管线工程</w:t>
                  </w:r>
                  <w:r>
                    <w:rPr>
                      <w:rFonts w:hint="eastAsia" w:ascii="Times New Roman" w:hAnsi="Times New Roman" w:cs="Times New Roman"/>
                      <w:lang w:val="en-US" w:eastAsia="zh-CN"/>
                    </w:rPr>
                    <w:t>项目</w:t>
                  </w:r>
                  <w:r>
                    <w:rPr>
                      <w:rFonts w:hint="eastAsia" w:cs="Times New Roman"/>
                      <w:lang w:val="en-US" w:eastAsia="zh-CN"/>
                    </w:rPr>
                    <w:t>配套环保设施</w:t>
                  </w:r>
                  <w:r>
                    <w:rPr>
                      <w:rFonts w:hint="eastAsia" w:ascii="Times New Roman" w:hAnsi="Times New Roman" w:cs="Times New Roman"/>
                      <w:lang w:val="en-US" w:eastAsia="zh-CN"/>
                    </w:rPr>
                    <w:t>，已通过竣工环境保护验收，可满足新增要求</w:t>
                  </w:r>
                  <w:r>
                    <w:rPr>
                      <w:rFonts w:hint="default" w:ascii="Times New Roman" w:hAnsi="Times New Roman" w:cs="Times New Roman"/>
                      <w:color w:val="000000" w:themeColor="text1"/>
                      <w:lang w:val="en-US" w:eastAsia="zh-CN"/>
                    </w:rPr>
                    <w:t>，</w:t>
                  </w:r>
                  <w:r>
                    <w:rPr>
                      <w:rFonts w:hint="eastAsia" w:cs="Times New Roman"/>
                      <w:lang w:val="en-US" w:eastAsia="zh-CN"/>
                    </w:rPr>
                    <w:t>暂存于排污池，</w:t>
                  </w:r>
                  <w:r>
                    <w:rPr>
                      <w:rFonts w:hint="eastAsia" w:cs="Times New Roman"/>
                      <w:color w:val="000000" w:themeColor="text1"/>
                    </w:rPr>
                    <w:t>由</w:t>
                  </w:r>
                  <w:r>
                    <w:rPr>
                      <w:rFonts w:hint="eastAsia" w:cs="Times New Roman"/>
                      <w:color w:val="000000" w:themeColor="text1"/>
                      <w:lang w:val="en-US" w:eastAsia="zh-CN"/>
                    </w:rPr>
                    <w:t>山西中材桃园环保科技有限公司</w:t>
                  </w:r>
                  <w:r>
                    <w:rPr>
                      <w:rFonts w:hint="eastAsia" w:cs="Times New Roman"/>
                      <w:color w:val="000000" w:themeColor="text1"/>
                    </w:rPr>
                    <w:t>进行合理处</w:t>
                  </w:r>
                  <w:r>
                    <w:rPr>
                      <w:rFonts w:hint="eastAsia" w:cs="Times New Roman"/>
                      <w:color w:val="000000" w:themeColor="text1"/>
                      <w:lang w:val="en-US" w:eastAsia="zh-CN"/>
                    </w:rPr>
                    <w:t>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48" w:type="dxa"/>
                  <w:gridSpan w:val="2"/>
                  <w:vAlign w:val="center"/>
                </w:tcPr>
                <w:p>
                  <w:pPr>
                    <w:pStyle w:val="89"/>
                    <w:rPr>
                      <w:rFonts w:cs="Times New Roman"/>
                      <w:color w:val="000000" w:themeColor="text1"/>
                    </w:rPr>
                  </w:pPr>
                  <w:r>
                    <w:rPr>
                      <w:rFonts w:cs="Times New Roman"/>
                      <w:color w:val="000000" w:themeColor="text1"/>
                    </w:rPr>
                    <w:t>噪声</w:t>
                  </w: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站内调压计</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hint="eastAsia" w:cs="Times New Roman"/>
                      <w:color w:val="000000" w:themeColor="text1"/>
                    </w:rPr>
                    <w:t>选用低噪声设备</w:t>
                  </w:r>
                </w:p>
              </w:tc>
              <w:tc>
                <w:tcPr>
                  <w:tcW w:w="3717" w:type="dxa"/>
                  <w:tcBorders>
                    <w:left w:val="single" w:color="auto" w:sz="4" w:space="0"/>
                  </w:tcBorders>
                  <w:vAlign w:val="center"/>
                </w:tcPr>
                <w:p>
                  <w:pPr>
                    <w:pStyle w:val="89"/>
                    <w:rPr>
                      <w:rFonts w:hint="eastAsia" w:eastAsia="宋体" w:cs="Times New Roman"/>
                      <w:lang w:val="en-US" w:eastAsia="zh-CN"/>
                    </w:rPr>
                  </w:pPr>
                  <w:r>
                    <w:rPr>
                      <w:rFonts w:hint="eastAsia" w:cs="Times New Roman"/>
                      <w:lang w:val="en-US" w:eastAsia="zh-CN"/>
                    </w:rPr>
                    <w:t>选用了低噪声设备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948" w:type="dxa"/>
                  <w:gridSpan w:val="2"/>
                  <w:vAlign w:val="center"/>
                </w:tcPr>
                <w:p>
                  <w:pPr>
                    <w:pStyle w:val="89"/>
                    <w:rPr>
                      <w:rFonts w:cs="Times New Roman"/>
                      <w:color w:val="000000" w:themeColor="text1"/>
                    </w:rPr>
                  </w:pPr>
                  <w:r>
                    <w:rPr>
                      <w:rFonts w:cs="Times New Roman"/>
                      <w:color w:val="000000" w:themeColor="text1"/>
                    </w:rPr>
                    <w:t>生态</w:t>
                  </w:r>
                </w:p>
              </w:tc>
              <w:tc>
                <w:tcPr>
                  <w:tcW w:w="1384" w:type="dxa"/>
                  <w:tcBorders>
                    <w:right w:val="single" w:color="auto" w:sz="4" w:space="0"/>
                  </w:tcBorders>
                  <w:vAlign w:val="center"/>
                </w:tcPr>
                <w:p>
                  <w:pPr>
                    <w:pStyle w:val="89"/>
                    <w:rPr>
                      <w:rFonts w:cs="Times New Roman"/>
                      <w:color w:val="000000" w:themeColor="text1"/>
                    </w:rPr>
                  </w:pPr>
                  <w:r>
                    <w:rPr>
                      <w:rFonts w:cs="Times New Roman"/>
                      <w:color w:val="000000" w:themeColor="text1"/>
                    </w:rPr>
                    <w:t>生态</w:t>
                  </w:r>
                </w:p>
              </w:tc>
              <w:tc>
                <w:tcPr>
                  <w:tcW w:w="3119" w:type="dxa"/>
                  <w:tcBorders>
                    <w:left w:val="single" w:color="auto" w:sz="4" w:space="0"/>
                    <w:right w:val="single" w:color="auto" w:sz="4" w:space="0"/>
                  </w:tcBorders>
                  <w:vAlign w:val="center"/>
                </w:tcPr>
                <w:p>
                  <w:pPr>
                    <w:pStyle w:val="89"/>
                    <w:rPr>
                      <w:rFonts w:cs="Times New Roman"/>
                      <w:color w:val="000000" w:themeColor="text1"/>
                    </w:rPr>
                  </w:pPr>
                  <w:r>
                    <w:rPr>
                      <w:rFonts w:cs="Times New Roman"/>
                      <w:color w:val="000000" w:themeColor="text1"/>
                    </w:rPr>
                    <w:t>项目施工完后对临时占地全部进行生态恢复</w:t>
                  </w:r>
                </w:p>
              </w:tc>
              <w:tc>
                <w:tcPr>
                  <w:tcW w:w="3717" w:type="dxa"/>
                  <w:tcBorders>
                    <w:left w:val="single" w:color="auto" w:sz="4" w:space="0"/>
                  </w:tcBorders>
                  <w:vAlign w:val="center"/>
                </w:tcPr>
                <w:p>
                  <w:pPr>
                    <w:pStyle w:val="89"/>
                    <w:rPr>
                      <w:rFonts w:hint="eastAsia" w:eastAsia="宋体" w:cs="Times New Roman"/>
                      <w:lang w:val="en-US" w:eastAsia="zh-CN"/>
                    </w:rPr>
                  </w:pPr>
                  <w:r>
                    <w:rPr>
                      <w:rFonts w:cs="Times New Roman"/>
                      <w:color w:val="000000" w:themeColor="text1"/>
                    </w:rPr>
                    <w:t>项目施工完后对临时占地全部进行</w:t>
                  </w:r>
                  <w:r>
                    <w:rPr>
                      <w:rFonts w:hint="eastAsia" w:cs="Times New Roman"/>
                      <w:color w:val="000000" w:themeColor="text1"/>
                      <w:lang w:val="en-US" w:eastAsia="zh-CN"/>
                    </w:rPr>
                    <w:t>了生态恢复</w:t>
                  </w:r>
                </w:p>
              </w:tc>
            </w:tr>
          </w:tbl>
          <w:p>
            <w:pPr>
              <w:spacing w:line="360" w:lineRule="auto"/>
              <w:ind w:firstLine="472" w:firstLineChars="197"/>
              <w:rPr>
                <w:rFonts w:hint="eastAsia" w:eastAsia="宋体"/>
                <w:color w:val="FF0000"/>
                <w:szCs w:val="21"/>
                <w:lang w:val="en-US" w:eastAsia="zh-CN"/>
              </w:rPr>
            </w:pPr>
            <w:r>
              <w:rPr>
                <w:rFonts w:hint="eastAsia"/>
                <w:color w:val="auto"/>
                <w:sz w:val="24"/>
                <w:lang w:val="en-US" w:eastAsia="zh-CN"/>
              </w:rPr>
              <w:t>2016年2月29日忻州市环境保护局以忻环验字（2016）11号《关于山西天然气股份有限公司保德—三岔输气管道工程项目竣工环境保护验收意见的函》对</w:t>
            </w:r>
            <w:r>
              <w:rPr>
                <w:rFonts w:hint="eastAsia"/>
                <w:color w:val="auto"/>
                <w:sz w:val="24"/>
              </w:rPr>
              <w:t>保德首站</w:t>
            </w:r>
            <w:r>
              <w:rPr>
                <w:rFonts w:hint="eastAsia"/>
                <w:color w:val="auto"/>
                <w:sz w:val="24"/>
                <w:lang w:val="en-US" w:eastAsia="zh-CN"/>
              </w:rPr>
              <w:t>进行了</w:t>
            </w:r>
            <w:r>
              <w:rPr>
                <w:rFonts w:hint="eastAsia"/>
                <w:color w:val="auto"/>
                <w:sz w:val="24"/>
              </w:rPr>
              <w:t>验收。</w:t>
            </w:r>
          </w:p>
          <w:p>
            <w:pPr>
              <w:spacing w:line="460" w:lineRule="exact"/>
              <w:rPr>
                <w:b/>
                <w:sz w:val="24"/>
              </w:rPr>
            </w:pPr>
            <w:r>
              <w:rPr>
                <w:b/>
                <w:sz w:val="24"/>
              </w:rPr>
              <w:t>环评批复要求的环保措施执行情况</w:t>
            </w:r>
          </w:p>
          <w:p>
            <w:pPr>
              <w:pStyle w:val="86"/>
              <w:ind w:firstLine="0" w:firstLineChars="0"/>
              <w:jc w:val="center"/>
              <w:rPr>
                <w:rFonts w:cs="Times New Roman"/>
                <w:b/>
                <w:color w:val="FF0000"/>
                <w:sz w:val="21"/>
                <w:szCs w:val="21"/>
              </w:rPr>
            </w:pPr>
            <w:r>
              <w:rPr>
                <w:rFonts w:cs="Times New Roman"/>
                <w:b/>
                <w:sz w:val="21"/>
                <w:szCs w:val="21"/>
              </w:rPr>
              <w:t>表6-</w:t>
            </w:r>
            <w:r>
              <w:rPr>
                <w:rFonts w:hint="eastAsia" w:cs="Times New Roman"/>
                <w:b/>
                <w:sz w:val="21"/>
                <w:szCs w:val="21"/>
                <w:lang w:val="en-US" w:eastAsia="zh-CN"/>
              </w:rPr>
              <w:t>3</w:t>
            </w:r>
            <w:r>
              <w:rPr>
                <w:rFonts w:cs="Times New Roman"/>
                <w:b/>
                <w:sz w:val="21"/>
                <w:szCs w:val="21"/>
              </w:rPr>
              <w:t>环评批复要求的环保措施执行情况</w:t>
            </w:r>
          </w:p>
          <w:tbl>
            <w:tblPr>
              <w:tblStyle w:val="32"/>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77"/>
              <w:gridCol w:w="4677"/>
              <w:gridCol w:w="3360"/>
              <w:gridCol w:w="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6" w:hRule="atLeast"/>
                <w:tblHeader/>
              </w:trPr>
              <w:tc>
                <w:tcPr>
                  <w:tcW w:w="477" w:type="dxa"/>
                  <w:vAlign w:val="center"/>
                </w:tcPr>
                <w:p>
                  <w:pPr>
                    <w:pStyle w:val="89"/>
                  </w:pPr>
                  <w:r>
                    <w:t>序号</w:t>
                  </w:r>
                </w:p>
              </w:tc>
              <w:tc>
                <w:tcPr>
                  <w:tcW w:w="4677" w:type="dxa"/>
                  <w:vAlign w:val="center"/>
                </w:tcPr>
                <w:p>
                  <w:pPr>
                    <w:pStyle w:val="89"/>
                  </w:pPr>
                  <w:r>
                    <w:t>环评批复要求</w:t>
                  </w:r>
                </w:p>
              </w:tc>
              <w:tc>
                <w:tcPr>
                  <w:tcW w:w="3360" w:type="dxa"/>
                  <w:vAlign w:val="center"/>
                </w:tcPr>
                <w:p>
                  <w:pPr>
                    <w:pStyle w:val="89"/>
                  </w:pPr>
                  <w:r>
                    <w:t>落实情况</w:t>
                  </w:r>
                </w:p>
              </w:tc>
              <w:tc>
                <w:tcPr>
                  <w:tcW w:w="660" w:type="dxa"/>
                  <w:vAlign w:val="center"/>
                </w:tcPr>
                <w:p>
                  <w:pPr>
                    <w:pStyle w:val="89"/>
                  </w:pPr>
                  <w: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6" w:hRule="atLeast"/>
              </w:trPr>
              <w:tc>
                <w:tcPr>
                  <w:tcW w:w="477" w:type="dxa"/>
                  <w:vAlign w:val="center"/>
                </w:tcPr>
                <w:p>
                  <w:pPr>
                    <w:pStyle w:val="89"/>
                  </w:pPr>
                  <w:r>
                    <w:t>1</w:t>
                  </w:r>
                </w:p>
              </w:tc>
              <w:tc>
                <w:tcPr>
                  <w:tcW w:w="4677" w:type="dxa"/>
                  <w:vAlign w:val="center"/>
                </w:tcPr>
                <w:p>
                  <w:pPr>
                    <w:pStyle w:val="89"/>
                    <w:jc w:val="both"/>
                  </w:pPr>
                  <w:r>
                    <w:rPr>
                      <w:rFonts w:hint="eastAsia"/>
                    </w:rPr>
                    <w:t>加强施工期环境管理。进一步优化管道选线，避让植被良好区域。施工期严格遵守国家、地方法律法规及有关管理规定。穿越朱家川河施工时，杜绝污水排放和设施漏油等现象，严禁施工废水、油污进入水体或洒落河床。</w:t>
                  </w:r>
                </w:p>
              </w:tc>
              <w:tc>
                <w:tcPr>
                  <w:tcW w:w="3360" w:type="dxa"/>
                  <w:vAlign w:val="center"/>
                </w:tcPr>
                <w:p>
                  <w:pPr>
                    <w:pStyle w:val="89"/>
                    <w:jc w:val="both"/>
                  </w:pPr>
                  <w:r>
                    <w:rPr>
                      <w:rFonts w:hint="eastAsia"/>
                    </w:rPr>
                    <w:t>优化了管道选线。穿越朱家川河施工时，杜绝了污水排放和设施漏油等现象，施工废水、油污未进入水体或洒落河床。</w:t>
                  </w:r>
                </w:p>
              </w:tc>
              <w:tc>
                <w:tcPr>
                  <w:tcW w:w="660" w:type="dxa"/>
                  <w:vAlign w:val="center"/>
                </w:tcPr>
                <w:p>
                  <w:pPr>
                    <w:pStyle w:val="89"/>
                  </w:pPr>
                  <w:r>
                    <w:t>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477" w:type="dxa"/>
                  <w:vAlign w:val="center"/>
                </w:tcPr>
                <w:p>
                  <w:pPr>
                    <w:pStyle w:val="89"/>
                  </w:pPr>
                  <w:r>
                    <w:t>2</w:t>
                  </w:r>
                </w:p>
              </w:tc>
              <w:tc>
                <w:tcPr>
                  <w:tcW w:w="4677" w:type="dxa"/>
                </w:tcPr>
                <w:p>
                  <w:pPr>
                    <w:rPr>
                      <w:rFonts w:hint="eastAsia"/>
                      <w:szCs w:val="21"/>
                    </w:rPr>
                  </w:pPr>
                  <w:r>
                    <w:rPr>
                      <w:rFonts w:hint="eastAsia"/>
                      <w:szCs w:val="21"/>
                    </w:rPr>
                    <w:t>认真落实生态保护措施。严格控制施工作业范围，限制施工人员及施工机械活动范围，减少地表扰动。合理安排施工期，管网开挖应避开雨季，减少水土流失及对植被的破坏。管沟开挖采取分层开挖、分层回填措施，严格控制开挖面和开挖量。开挖过程中产生的弃土石应进行综合利用。穿越农田施工应保留表层耕作土，施工结束后及时恢复原有地貌和功能。</w:t>
                  </w:r>
                </w:p>
              </w:tc>
              <w:tc>
                <w:tcPr>
                  <w:tcW w:w="3360" w:type="dxa"/>
                  <w:vAlign w:val="center"/>
                </w:tcPr>
                <w:p>
                  <w:pPr>
                    <w:pStyle w:val="89"/>
                    <w:jc w:val="both"/>
                  </w:pPr>
                  <w:r>
                    <w:rPr>
                      <w:rFonts w:hint="eastAsia"/>
                    </w:rPr>
                    <w:t>管沟开挖时须采取了分层开挖、分层回填的措施。开挖过程中产生的弃土</w:t>
                  </w:r>
                  <w:r>
                    <w:rPr>
                      <w:rFonts w:hint="eastAsia" w:cs="Times New Roman"/>
                      <w:lang w:val="en-US" w:eastAsia="zh-CN"/>
                    </w:rPr>
                    <w:t>在管道两侧进行了消化，现场未见多余土方量</w:t>
                  </w:r>
                  <w:r>
                    <w:rPr>
                      <w:rFonts w:hint="eastAsia"/>
                    </w:rPr>
                    <w:t>。施工结束后已恢复原有地貌和功能。</w:t>
                  </w:r>
                </w:p>
              </w:tc>
              <w:tc>
                <w:tcPr>
                  <w:tcW w:w="660" w:type="dxa"/>
                  <w:vAlign w:val="center"/>
                </w:tcPr>
                <w:p>
                  <w:pPr>
                    <w:pStyle w:val="89"/>
                  </w:pPr>
                  <w:r>
                    <w:t>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atLeast"/>
              </w:trPr>
              <w:tc>
                <w:tcPr>
                  <w:tcW w:w="477" w:type="dxa"/>
                  <w:vAlign w:val="center"/>
                </w:tcPr>
                <w:p>
                  <w:pPr>
                    <w:pStyle w:val="89"/>
                  </w:pPr>
                  <w:r>
                    <w:t>3</w:t>
                  </w:r>
                </w:p>
              </w:tc>
              <w:tc>
                <w:tcPr>
                  <w:tcW w:w="4677" w:type="dxa"/>
                </w:tcPr>
                <w:p>
                  <w:pPr>
                    <w:rPr>
                      <w:szCs w:val="21"/>
                    </w:rPr>
                  </w:pPr>
                  <w:r>
                    <w:rPr>
                      <w:rFonts w:hint="eastAsia"/>
                      <w:szCs w:val="21"/>
                    </w:rPr>
                    <w:t>落实施工期污染防治措施。采取边界围挡，物料遮盖、场地洒水、运输车辆加盖篷布等措施减少施工扬尘。管沟挖填随挖随用，减少土方存留时间及运输距离，禁止在大风天气进行土方挖填、装卸等作业。穿越朱家川河施工时需设置泥浆收集池，泥浆经沉淀后定期清运。合理安排施工时间，在距离村庄200m范围以内禁止夜间高噪声施工。施工废料应统一收集后外售。</w:t>
                  </w:r>
                </w:p>
              </w:tc>
              <w:tc>
                <w:tcPr>
                  <w:tcW w:w="3360" w:type="dxa"/>
                  <w:vAlign w:val="center"/>
                </w:tcPr>
                <w:p>
                  <w:pPr>
                    <w:pStyle w:val="89"/>
                    <w:jc w:val="both"/>
                  </w:pPr>
                  <w:r>
                    <w:rPr>
                      <w:rFonts w:hint="eastAsia"/>
                    </w:rPr>
                    <w:t>施工废料已统一收集后外售。</w:t>
                  </w:r>
                </w:p>
              </w:tc>
              <w:tc>
                <w:tcPr>
                  <w:tcW w:w="660" w:type="dxa"/>
                  <w:vAlign w:val="center"/>
                </w:tcPr>
                <w:p>
                  <w:pPr>
                    <w:pStyle w:val="89"/>
                    <w:rPr>
                      <w:kern w:val="21"/>
                    </w:rPr>
                  </w:pPr>
                  <w:r>
                    <w:rPr>
                      <w:kern w:val="21"/>
                    </w:rPr>
                    <w:t>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atLeast"/>
              </w:trPr>
              <w:tc>
                <w:tcPr>
                  <w:tcW w:w="477" w:type="dxa"/>
                  <w:vAlign w:val="center"/>
                </w:tcPr>
                <w:p>
                  <w:pPr>
                    <w:pStyle w:val="89"/>
                  </w:pPr>
                  <w:r>
                    <w:t>4</w:t>
                  </w:r>
                </w:p>
              </w:tc>
              <w:tc>
                <w:tcPr>
                  <w:tcW w:w="4677" w:type="dxa"/>
                  <w:vAlign w:val="center"/>
                </w:tcPr>
                <w:p>
                  <w:pPr>
                    <w:rPr>
                      <w:szCs w:val="21"/>
                    </w:rPr>
                  </w:pPr>
                  <w:r>
                    <w:rPr>
                      <w:rFonts w:hint="eastAsia"/>
                      <w:szCs w:val="21"/>
                    </w:rPr>
                    <w:t>落实运营期大气和水污染防治措施。采用先进的生产设备和管理体系，减少超压工况。清管作业、设备检修及系统超压等排放的天然气经原站场的放空火炬点火排放，大气污染物排放须达到《大气污染物综合排放标准》（GB16297-1996）表2中二级标准。保德首站扩建部分站场的检修废水随原污水处理系统进入站场排污池。</w:t>
                  </w:r>
                </w:p>
              </w:tc>
              <w:tc>
                <w:tcPr>
                  <w:tcW w:w="3360" w:type="dxa"/>
                  <w:vAlign w:val="center"/>
                </w:tcPr>
                <w:p>
                  <w:pPr>
                    <w:pStyle w:val="89"/>
                    <w:jc w:val="both"/>
                  </w:pPr>
                  <w:r>
                    <w:rPr>
                      <w:rFonts w:hint="eastAsia"/>
                    </w:rPr>
                    <w:t>已采用先进的生产设备和管理体系，减少超压工况。清管作业、设备检修及系统超压等排放的天然气经</w:t>
                  </w:r>
                  <w:r>
                    <w:rPr>
                      <w:rFonts w:hint="eastAsia" w:cs="Times New Roman"/>
                      <w:lang w:val="en-US" w:eastAsia="zh-CN"/>
                    </w:rPr>
                    <w:t>站场原有点火放空火炬，通过25m高的排气筒排放</w:t>
                  </w:r>
                  <w:r>
                    <w:rPr>
                      <w:rFonts w:hint="eastAsia"/>
                    </w:rPr>
                    <w:t>，大气污染物排放满足标准要求。保德首站扩建部分站场的检修废水</w:t>
                  </w:r>
                  <w:r>
                    <w:rPr>
                      <w:rFonts w:hint="eastAsia"/>
                      <w:szCs w:val="21"/>
                    </w:rPr>
                    <w:t>随原污水处理系统</w:t>
                  </w:r>
                  <w:r>
                    <w:rPr>
                      <w:rFonts w:hint="default" w:ascii="Times New Roman" w:hAnsi="Times New Roman" w:cs="Times New Roman"/>
                      <w:color w:val="000000" w:themeColor="text1"/>
                      <w:lang w:val="en-US" w:eastAsia="zh-CN"/>
                    </w:rPr>
                    <w:t>进入站场原有70m</w:t>
                  </w:r>
                  <w:r>
                    <w:rPr>
                      <w:rFonts w:hint="default" w:ascii="Times New Roman" w:hAnsi="Times New Roman" w:cs="Times New Roman"/>
                      <w:color w:val="000000" w:themeColor="text1"/>
                      <w:vertAlign w:val="superscript"/>
                      <w:lang w:val="en-US" w:eastAsia="zh-CN"/>
                    </w:rPr>
                    <w:t>3</w:t>
                  </w:r>
                  <w:r>
                    <w:rPr>
                      <w:rFonts w:hint="default" w:ascii="Times New Roman" w:hAnsi="Times New Roman" w:cs="Times New Roman"/>
                      <w:color w:val="000000" w:themeColor="text1"/>
                      <w:lang w:val="en-US" w:eastAsia="zh-CN"/>
                    </w:rPr>
                    <w:t>排污池</w:t>
                  </w:r>
                  <w:r>
                    <w:rPr>
                      <w:rFonts w:hint="eastAsia" w:cs="Times New Roman"/>
                      <w:color w:val="000000" w:themeColor="text1"/>
                      <w:lang w:val="en-US" w:eastAsia="zh-CN"/>
                    </w:rPr>
                    <w:t>，</w:t>
                  </w:r>
                  <w:r>
                    <w:rPr>
                      <w:rFonts w:hint="eastAsia" w:ascii="Times New Roman" w:hAnsi="Times New Roman" w:cs="Times New Roman"/>
                      <w:lang w:val="en-US" w:eastAsia="zh-CN"/>
                    </w:rPr>
                    <w:t>排污池属于</w:t>
                  </w:r>
                  <w:r>
                    <w:rPr>
                      <w:rFonts w:hint="default" w:ascii="Times New Roman" w:hAnsi="Times New Roman" w:cs="Times New Roman"/>
                      <w:lang w:val="en-US" w:eastAsia="zh-CN"/>
                    </w:rPr>
                    <w:t>山西天然气有限公司保德——三岔天然气输气管线工程</w:t>
                  </w:r>
                  <w:r>
                    <w:rPr>
                      <w:rFonts w:hint="eastAsia" w:ascii="Times New Roman" w:hAnsi="Times New Roman" w:cs="Times New Roman"/>
                      <w:lang w:val="en-US" w:eastAsia="zh-CN"/>
                    </w:rPr>
                    <w:t>项目</w:t>
                  </w:r>
                  <w:r>
                    <w:rPr>
                      <w:rFonts w:hint="eastAsia" w:cs="Times New Roman"/>
                      <w:lang w:val="en-US" w:eastAsia="zh-CN"/>
                    </w:rPr>
                    <w:t>配套环保设施</w:t>
                  </w:r>
                  <w:r>
                    <w:rPr>
                      <w:rFonts w:hint="eastAsia" w:ascii="Times New Roman" w:hAnsi="Times New Roman" w:cs="Times New Roman"/>
                      <w:lang w:val="en-US" w:eastAsia="zh-CN"/>
                    </w:rPr>
                    <w:t>，已通过竣工环境保护验收，可满足新增要求</w:t>
                  </w:r>
                  <w:r>
                    <w:rPr>
                      <w:rFonts w:hint="default" w:ascii="Times New Roman" w:hAnsi="Times New Roman" w:cs="Times New Roman"/>
                      <w:color w:val="000000" w:themeColor="text1"/>
                      <w:lang w:val="en-US" w:eastAsia="zh-CN"/>
                    </w:rPr>
                    <w:t>，</w:t>
                  </w:r>
                  <w:r>
                    <w:rPr>
                      <w:rFonts w:hint="eastAsia" w:cs="Times New Roman"/>
                      <w:color w:val="000000" w:themeColor="text1"/>
                      <w:lang w:val="en-US" w:eastAsia="zh-CN"/>
                    </w:rPr>
                    <w:t>排入排污池，</w:t>
                  </w:r>
                  <w:r>
                    <w:rPr>
                      <w:rFonts w:hint="default" w:ascii="Times New Roman" w:hAnsi="Times New Roman" w:cs="Times New Roman"/>
                      <w:color w:val="000000" w:themeColor="text1"/>
                    </w:rPr>
                    <w:t>由</w:t>
                  </w:r>
                  <w:r>
                    <w:rPr>
                      <w:rFonts w:hint="default" w:ascii="Times New Roman" w:hAnsi="Times New Roman" w:cs="Times New Roman"/>
                      <w:color w:val="000000" w:themeColor="text1"/>
                      <w:lang w:val="en-US" w:eastAsia="zh-CN"/>
                    </w:rPr>
                    <w:t>山西中材桃园环保科技有限公司</w:t>
                  </w:r>
                  <w:r>
                    <w:rPr>
                      <w:rFonts w:hint="default" w:ascii="Times New Roman" w:hAnsi="Times New Roman" w:cs="Times New Roman"/>
                      <w:color w:val="000000" w:themeColor="text1"/>
                    </w:rPr>
                    <w:t>进行合理处置</w:t>
                  </w:r>
                  <w:r>
                    <w:rPr>
                      <w:rFonts w:hint="eastAsia"/>
                    </w:rPr>
                    <w:t>。</w:t>
                  </w:r>
                </w:p>
              </w:tc>
              <w:tc>
                <w:tcPr>
                  <w:tcW w:w="660" w:type="dxa"/>
                  <w:vAlign w:val="center"/>
                </w:tcPr>
                <w:p>
                  <w:pPr>
                    <w:pStyle w:val="89"/>
                    <w:rPr>
                      <w:kern w:val="21"/>
                    </w:rPr>
                  </w:pPr>
                  <w:r>
                    <w:rPr>
                      <w:kern w:val="21"/>
                    </w:rPr>
                    <w:t>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2" w:hRule="atLeast"/>
              </w:trPr>
              <w:tc>
                <w:tcPr>
                  <w:tcW w:w="477" w:type="dxa"/>
                  <w:vAlign w:val="center"/>
                </w:tcPr>
                <w:p>
                  <w:pPr>
                    <w:pStyle w:val="89"/>
                  </w:pPr>
                  <w:r>
                    <w:t>5</w:t>
                  </w:r>
                </w:p>
              </w:tc>
              <w:tc>
                <w:tcPr>
                  <w:tcW w:w="4677" w:type="dxa"/>
                  <w:vAlign w:val="center"/>
                </w:tcPr>
                <w:p>
                  <w:pPr>
                    <w:rPr>
                      <w:szCs w:val="21"/>
                    </w:rPr>
                  </w:pPr>
                  <w:r>
                    <w:rPr>
                      <w:rFonts w:hint="eastAsia"/>
                      <w:szCs w:val="21"/>
                    </w:rPr>
                    <w:t>落实运营期噪声和固体废物污染防治措施。选用低噪声、低振动机械设备和工艺，加强运营期噪声的监测，合理调整降噪措施，确保厂界噪声达标。站场收球清管及过滤分离时产生的废渣等，集中收集后外售综合利用。检修时产生的废油，暂存于站场原有排污池，由有资质的单位进行合理处置。</w:t>
                  </w:r>
                </w:p>
              </w:tc>
              <w:tc>
                <w:tcPr>
                  <w:tcW w:w="3360" w:type="dxa"/>
                  <w:vAlign w:val="center"/>
                </w:tcPr>
                <w:p>
                  <w:pPr>
                    <w:pStyle w:val="89"/>
                    <w:jc w:val="both"/>
                  </w:pPr>
                  <w:r>
                    <w:rPr>
                      <w:rFonts w:hint="eastAsia"/>
                    </w:rPr>
                    <w:t>选用了低噪声、低振动机械设备和工艺，加强了运营期噪声监测，厂界噪声满足标准要求。站场收球清管及过滤分离时产生的废渣等，已集中收集后外售综合利用。</w:t>
                  </w:r>
                  <w:r>
                    <w:rPr>
                      <w:rFonts w:hint="default" w:ascii="Times New Roman" w:hAnsi="Times New Roman" w:cs="Times New Roman"/>
                    </w:rPr>
                    <w:t>检修时</w:t>
                  </w:r>
                  <w:r>
                    <w:rPr>
                      <w:rFonts w:hint="default" w:ascii="Times New Roman" w:hAnsi="Times New Roman" w:cs="Times New Roman"/>
                      <w:lang w:val="en-US" w:eastAsia="zh-CN"/>
                    </w:rPr>
                    <w:t>产生的</w:t>
                  </w:r>
                  <w:r>
                    <w:rPr>
                      <w:rFonts w:hint="default" w:ascii="Times New Roman" w:hAnsi="Times New Roman" w:cs="Times New Roman"/>
                    </w:rPr>
                    <w:t>废油</w:t>
                  </w:r>
                  <w:r>
                    <w:rPr>
                      <w:rFonts w:hint="eastAsia" w:cs="Times New Roman"/>
                      <w:lang w:val="en-US" w:eastAsia="zh-CN"/>
                    </w:rPr>
                    <w:t>依托</w:t>
                  </w:r>
                  <w:r>
                    <w:rPr>
                      <w:rFonts w:hint="default" w:ascii="Times New Roman" w:hAnsi="Times New Roman" w:cs="Times New Roman"/>
                      <w:lang w:val="en-US" w:eastAsia="zh-CN"/>
                    </w:rPr>
                    <w:t>站场原有70m</w:t>
                  </w:r>
                  <w:r>
                    <w:rPr>
                      <w:rFonts w:hint="default" w:ascii="Times New Roman" w:hAnsi="Times New Roman" w:cs="Times New Roman"/>
                      <w:vertAlign w:val="superscript"/>
                      <w:lang w:val="en-US" w:eastAsia="zh-CN"/>
                    </w:rPr>
                    <w:t>3</w:t>
                  </w:r>
                  <w:r>
                    <w:rPr>
                      <w:rFonts w:hint="default" w:ascii="Times New Roman" w:hAnsi="Times New Roman" w:cs="Times New Roman"/>
                      <w:lang w:val="en-US" w:eastAsia="zh-CN"/>
                    </w:rPr>
                    <w:t>排污池</w:t>
                  </w:r>
                  <w:r>
                    <w:rPr>
                      <w:rFonts w:hint="eastAsia" w:cs="Times New Roman"/>
                      <w:lang w:val="en-US" w:eastAsia="zh-CN"/>
                    </w:rPr>
                    <w:t>，</w:t>
                  </w:r>
                  <w:r>
                    <w:rPr>
                      <w:rFonts w:hint="eastAsia" w:ascii="Times New Roman" w:hAnsi="Times New Roman" w:cs="Times New Roman"/>
                      <w:lang w:val="en-US" w:eastAsia="zh-CN"/>
                    </w:rPr>
                    <w:t>排污池属于</w:t>
                  </w:r>
                  <w:r>
                    <w:rPr>
                      <w:rFonts w:hint="default" w:ascii="Times New Roman" w:hAnsi="Times New Roman" w:cs="Times New Roman"/>
                      <w:lang w:val="en-US" w:eastAsia="zh-CN"/>
                    </w:rPr>
                    <w:t>山西天然气有限公司保德——三岔天然气输气管线工程</w:t>
                  </w:r>
                  <w:r>
                    <w:rPr>
                      <w:rFonts w:hint="eastAsia" w:ascii="Times New Roman" w:hAnsi="Times New Roman" w:cs="Times New Roman"/>
                      <w:lang w:val="en-US" w:eastAsia="zh-CN"/>
                    </w:rPr>
                    <w:t>项目</w:t>
                  </w:r>
                  <w:r>
                    <w:rPr>
                      <w:rFonts w:hint="eastAsia" w:cs="Times New Roman"/>
                      <w:lang w:val="en-US" w:eastAsia="zh-CN"/>
                    </w:rPr>
                    <w:t>配套环保设施</w:t>
                  </w:r>
                  <w:r>
                    <w:rPr>
                      <w:rFonts w:hint="eastAsia" w:ascii="Times New Roman" w:hAnsi="Times New Roman" w:cs="Times New Roman"/>
                      <w:lang w:val="en-US" w:eastAsia="zh-CN"/>
                    </w:rPr>
                    <w:t>，已通过竣工环境保护验收，可满足新增要求</w:t>
                  </w:r>
                  <w:r>
                    <w:rPr>
                      <w:rFonts w:hint="default" w:ascii="Times New Roman" w:hAnsi="Times New Roman" w:cs="Times New Roman"/>
                      <w:lang w:val="en-US" w:eastAsia="zh-CN"/>
                    </w:rPr>
                    <w:t>，</w:t>
                  </w:r>
                  <w:r>
                    <w:rPr>
                      <w:rFonts w:hint="eastAsia" w:cs="Times New Roman"/>
                      <w:lang w:val="en-US" w:eastAsia="zh-CN"/>
                    </w:rPr>
                    <w:t>暂存于排污池，</w:t>
                  </w:r>
                  <w:r>
                    <w:rPr>
                      <w:rFonts w:hint="default" w:ascii="Times New Roman" w:hAnsi="Times New Roman" w:cs="Times New Roman"/>
                      <w:color w:val="000000" w:themeColor="text1"/>
                    </w:rPr>
                    <w:t>由</w:t>
                  </w:r>
                  <w:r>
                    <w:rPr>
                      <w:rFonts w:hint="default" w:ascii="Times New Roman" w:hAnsi="Times New Roman" w:cs="Times New Roman"/>
                      <w:color w:val="000000" w:themeColor="text1"/>
                      <w:lang w:val="en-US" w:eastAsia="zh-CN"/>
                    </w:rPr>
                    <w:t>山西中材桃园环保科技有限公司</w:t>
                  </w:r>
                  <w:r>
                    <w:rPr>
                      <w:rFonts w:hint="default" w:ascii="Times New Roman" w:hAnsi="Times New Roman" w:cs="Times New Roman"/>
                      <w:color w:val="000000" w:themeColor="text1"/>
                    </w:rPr>
                    <w:t>进行合理处置</w:t>
                  </w:r>
                  <w:r>
                    <w:rPr>
                      <w:rFonts w:hint="eastAsia"/>
                    </w:rPr>
                    <w:t>。</w:t>
                  </w:r>
                </w:p>
              </w:tc>
              <w:tc>
                <w:tcPr>
                  <w:tcW w:w="660" w:type="dxa"/>
                  <w:vAlign w:val="center"/>
                </w:tcPr>
                <w:p>
                  <w:pPr>
                    <w:pStyle w:val="89"/>
                    <w:rPr>
                      <w:kern w:val="21"/>
                    </w:rPr>
                  </w:pPr>
                  <w:r>
                    <w:t>完成</w:t>
                  </w:r>
                </w:p>
              </w:tc>
            </w:tr>
          </w:tbl>
          <w:p>
            <w:pPr>
              <w:rPr>
                <w:rFonts w:ascii="宋体" w:hAnsi="宋体" w:cs="宋体"/>
                <w:kern w:val="0"/>
                <w:sz w:val="24"/>
              </w:rPr>
            </w:pPr>
          </w:p>
          <w:p>
            <w:pPr>
              <w:ind w:firstLine="240" w:firstLineChars="100"/>
              <w:rPr>
                <w:rFonts w:ascii="宋体" w:hAnsi="宋体" w:cs="宋体"/>
                <w:kern w:val="0"/>
                <w:sz w:val="24"/>
              </w:rPr>
            </w:pPr>
            <w:r>
              <w:rPr>
                <w:rFonts w:ascii="宋体" w:hAnsi="宋体" w:cs="宋体"/>
                <w:kern w:val="0"/>
                <w:sz w:val="24"/>
              </w:rPr>
              <w:drawing>
                <wp:inline distT="0" distB="0" distL="0" distR="0">
                  <wp:extent cx="2667000" cy="1818640"/>
                  <wp:effectExtent l="0" t="0" r="0" b="10160"/>
                  <wp:docPr id="5" name="图片 15" descr="C:\Users\lenovo\AppData\Roaming\Tencent\Users\346914618\QQ\WinTemp\RichOle\[}85`4KXQ`)WJ4E(UIO5O{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descr="C:\Users\lenovo\AppData\Roaming\Tencent\Users\346914618\QQ\WinTemp\RichOle\[}85`4KXQ`)WJ4E(UIO5O{8.png"/>
                          <pic:cNvPicPr>
                            <a:picLocks noChangeAspect="1" noChangeArrowheads="1"/>
                          </pic:cNvPicPr>
                        </pic:nvPicPr>
                        <pic:blipFill>
                          <a:blip r:embed="rId14"/>
                          <a:srcRect/>
                          <a:stretch>
                            <a:fillRect/>
                          </a:stretch>
                        </pic:blipFill>
                        <pic:spPr>
                          <a:xfrm>
                            <a:off x="0" y="0"/>
                            <a:ext cx="2672789" cy="1818640"/>
                          </a:xfrm>
                          <a:prstGeom prst="rect">
                            <a:avLst/>
                          </a:prstGeom>
                          <a:noFill/>
                          <a:ln w="9525">
                            <a:noFill/>
                            <a:miter lim="800000"/>
                            <a:headEnd/>
                            <a:tailEnd/>
                          </a:ln>
                        </pic:spPr>
                      </pic:pic>
                    </a:graphicData>
                  </a:graphic>
                </wp:inline>
              </w:drawing>
            </w:r>
            <w:r>
              <w:rPr>
                <w:rFonts w:hint="eastAsia" w:ascii="宋体" w:hAnsi="宋体" w:cs="宋体"/>
                <w:kern w:val="0"/>
                <w:sz w:val="24"/>
              </w:rPr>
              <w:t xml:space="preserve"> </w:t>
            </w:r>
            <w:r>
              <w:rPr>
                <w:rFonts w:ascii="宋体" w:hAnsi="宋体" w:cs="宋体"/>
                <w:kern w:val="0"/>
                <w:sz w:val="24"/>
              </w:rPr>
              <w:drawing>
                <wp:inline distT="0" distB="0" distL="0" distR="0">
                  <wp:extent cx="2790825" cy="1827530"/>
                  <wp:effectExtent l="0" t="0" r="9525" b="1270"/>
                  <wp:docPr id="19" name="图片 19" descr="C:\Users\lenovo\AppData\Roaming\Tencent\Users\346914618\QQ\WinTemp\RichOle\SS(LC]O}[2EP{0OM4YY6KT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enovo\AppData\Roaming\Tencent\Users\346914618\QQ\WinTemp\RichOle\SS(LC]O}[2EP{0OM4YY6KTW.png"/>
                          <pic:cNvPicPr>
                            <a:picLocks noChangeAspect="1" noChangeArrowheads="1"/>
                          </pic:cNvPicPr>
                        </pic:nvPicPr>
                        <pic:blipFill>
                          <a:blip r:embed="rId15"/>
                          <a:srcRect/>
                          <a:stretch>
                            <a:fillRect/>
                          </a:stretch>
                        </pic:blipFill>
                        <pic:spPr>
                          <a:xfrm>
                            <a:off x="0" y="0"/>
                            <a:ext cx="2790825" cy="1827530"/>
                          </a:xfrm>
                          <a:prstGeom prst="rect">
                            <a:avLst/>
                          </a:prstGeom>
                          <a:noFill/>
                          <a:ln w="9525">
                            <a:noFill/>
                            <a:miter lim="800000"/>
                            <a:headEnd/>
                            <a:tailEnd/>
                          </a:ln>
                        </pic:spPr>
                      </pic:pic>
                    </a:graphicData>
                  </a:graphic>
                </wp:inline>
              </w:drawing>
            </w:r>
          </w:p>
          <w:p>
            <w:pPr>
              <w:spacing w:line="460" w:lineRule="exact"/>
              <w:rPr>
                <w:color w:val="FF0000"/>
                <w:sz w:val="24"/>
              </w:rPr>
            </w:pPr>
            <w:r>
              <w:rPr>
                <w:color w:val="FF0000"/>
                <w:sz w:val="24"/>
              </w:rPr>
              <mc:AlternateContent>
                <mc:Choice Requires="wps">
                  <w:drawing>
                    <wp:anchor distT="0" distB="0" distL="114300" distR="114300" simplePos="0" relativeHeight="251679744" behindDoc="0" locked="0" layoutInCell="1" allowOverlap="1">
                      <wp:simplePos x="0" y="0"/>
                      <wp:positionH relativeFrom="column">
                        <wp:posOffset>3056890</wp:posOffset>
                      </wp:positionH>
                      <wp:positionV relativeFrom="paragraph">
                        <wp:posOffset>113030</wp:posOffset>
                      </wp:positionV>
                      <wp:extent cx="2433955" cy="323850"/>
                      <wp:effectExtent l="0" t="0" r="0" b="0"/>
                      <wp:wrapNone/>
                      <wp:docPr id="30" name="文本框 146"/>
                      <wp:cNvGraphicFramePr/>
                      <a:graphic xmlns:a="http://schemas.openxmlformats.org/drawingml/2006/main">
                        <a:graphicData uri="http://schemas.microsoft.com/office/word/2010/wordprocessingShape">
                          <wps:wsp>
                            <wps:cNvSpPr txBox="1"/>
                            <wps:spPr>
                              <a:xfrm>
                                <a:off x="0" y="0"/>
                                <a:ext cx="2433955" cy="323850"/>
                              </a:xfrm>
                              <a:prstGeom prst="rect">
                                <a:avLst/>
                              </a:prstGeom>
                              <a:noFill/>
                              <a:ln w="6350">
                                <a:noFill/>
                              </a:ln>
                            </wps:spPr>
                            <wps:txbx>
                              <w:txbxContent>
                                <w:p>
                                  <w:pPr>
                                    <w:jc w:val="center"/>
                                  </w:pPr>
                                  <w:r>
                                    <w:rPr>
                                      <w:rFonts w:hint="eastAsia"/>
                                      <w:b/>
                                      <w:bCs/>
                                      <w:szCs w:val="21"/>
                                    </w:rPr>
                                    <w:t>图</w:t>
                                  </w:r>
                                  <w:r>
                                    <w:rPr>
                                      <w:b/>
                                      <w:bCs/>
                                      <w:szCs w:val="21"/>
                                    </w:rPr>
                                    <w:t>6</w:t>
                                  </w:r>
                                  <w:r>
                                    <w:rPr>
                                      <w:rFonts w:hint="eastAsia"/>
                                      <w:b/>
                                      <w:bCs/>
                                      <w:szCs w:val="21"/>
                                    </w:rPr>
                                    <w:t>-2保德首站生活污水沉淀池</w:t>
                                  </w:r>
                                </w:p>
                              </w:txbxContent>
                            </wps:txbx>
                            <wps:bodyPr upright="1"/>
                          </wps:wsp>
                        </a:graphicData>
                      </a:graphic>
                    </wp:anchor>
                  </w:drawing>
                </mc:Choice>
                <mc:Fallback>
                  <w:pict>
                    <v:shape id="文本框 146" o:spid="_x0000_s1026" o:spt="202" type="#_x0000_t202" style="position:absolute;left:0pt;margin-left:240.7pt;margin-top:8.9pt;height:25.5pt;width:191.65pt;z-index:251679744;mso-width-relative:page;mso-height-relative:page;" filled="f" stroked="f"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uOLMUA&#10;AADcAAAADwAAAGRycy9kb3ducmV2LnhtbERPS2vCQBC+F/wPyxR6q5uGKi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44sxQAAANwAAAAPAAAAAAAAAAAAAAAAAJgCAABkcnMv&#10;ZG93bnJldi54bWxQSwUGAAAAAAQABAD1AAAAigMAAAAA&#10;">
                      <v:fill on="f" focussize="0,0"/>
                      <v:stroke on="f" weight="0.5pt"/>
                      <v:imagedata o:title=""/>
                      <o:lock v:ext="edit" aspectratio="f"/>
                      <v:textbox>
                        <w:txbxContent>
                          <w:p>
                            <w:pPr>
                              <w:jc w:val="center"/>
                            </w:pPr>
                            <w:r>
                              <w:rPr>
                                <w:rFonts w:hint="eastAsia"/>
                                <w:b/>
                                <w:bCs/>
                                <w:szCs w:val="21"/>
                              </w:rPr>
                              <w:t>图</w:t>
                            </w:r>
                            <w:r>
                              <w:rPr>
                                <w:b/>
                                <w:bCs/>
                                <w:szCs w:val="21"/>
                              </w:rPr>
                              <w:t>6</w:t>
                            </w:r>
                            <w:r>
                              <w:rPr>
                                <w:rFonts w:hint="eastAsia"/>
                                <w:b/>
                                <w:bCs/>
                                <w:szCs w:val="21"/>
                              </w:rPr>
                              <w:t>-2保德首站生活污水沉淀池</w:t>
                            </w:r>
                          </w:p>
                        </w:txbxContent>
                      </v:textbox>
                    </v:shape>
                  </w:pict>
                </mc:Fallback>
              </mc:AlternateContent>
            </w:r>
            <w:r>
              <w:rPr>
                <w:color w:val="FF0000"/>
                <w:sz w:val="24"/>
              </w:rPr>
              <mc:AlternateContent>
                <mc:Choice Requires="wps">
                  <w:drawing>
                    <wp:anchor distT="0" distB="0" distL="114300" distR="114300" simplePos="0" relativeHeight="251677696" behindDoc="0" locked="0" layoutInCell="1" allowOverlap="1">
                      <wp:simplePos x="0" y="0"/>
                      <wp:positionH relativeFrom="column">
                        <wp:posOffset>523240</wp:posOffset>
                      </wp:positionH>
                      <wp:positionV relativeFrom="paragraph">
                        <wp:posOffset>120650</wp:posOffset>
                      </wp:positionV>
                      <wp:extent cx="1866900" cy="323850"/>
                      <wp:effectExtent l="0" t="0" r="0" b="0"/>
                      <wp:wrapNone/>
                      <wp:docPr id="28" name="文本框 55"/>
                      <wp:cNvGraphicFramePr/>
                      <a:graphic xmlns:a="http://schemas.openxmlformats.org/drawingml/2006/main">
                        <a:graphicData uri="http://schemas.microsoft.com/office/word/2010/wordprocessingShape">
                          <wps:wsp>
                            <wps:cNvSpPr txBox="1"/>
                            <wps:spPr>
                              <a:xfrm>
                                <a:off x="0" y="0"/>
                                <a:ext cx="1866900" cy="323850"/>
                              </a:xfrm>
                              <a:prstGeom prst="rect">
                                <a:avLst/>
                              </a:prstGeom>
                              <a:noFill/>
                              <a:ln w="6350">
                                <a:noFill/>
                              </a:ln>
                            </wps:spPr>
                            <wps:txbx>
                              <w:txbxContent>
                                <w:p>
                                  <w:r>
                                    <w:rPr>
                                      <w:rFonts w:hint="eastAsia"/>
                                      <w:b/>
                                      <w:bCs/>
                                      <w:szCs w:val="21"/>
                                    </w:rPr>
                                    <w:t>图</w:t>
                                  </w:r>
                                  <w:r>
                                    <w:rPr>
                                      <w:b/>
                                      <w:bCs/>
                                      <w:szCs w:val="21"/>
                                    </w:rPr>
                                    <w:t>6</w:t>
                                  </w:r>
                                  <w:r>
                                    <w:rPr>
                                      <w:rFonts w:hint="eastAsia"/>
                                      <w:b/>
                                      <w:bCs/>
                                      <w:szCs w:val="21"/>
                                    </w:rPr>
                                    <w:t>-</w:t>
                                  </w:r>
                                  <w:r>
                                    <w:rPr>
                                      <w:b/>
                                      <w:bCs/>
                                      <w:szCs w:val="21"/>
                                    </w:rPr>
                                    <w:t>1</w:t>
                                  </w:r>
                                  <w:r>
                                    <w:rPr>
                                      <w:rFonts w:hint="eastAsia"/>
                                      <w:b/>
                                      <w:bCs/>
                                      <w:szCs w:val="21"/>
                                    </w:rPr>
                                    <w:t>保德首站</w:t>
                                  </w:r>
                                  <w:r>
                                    <w:rPr>
                                      <w:b/>
                                      <w:bCs/>
                                      <w:szCs w:val="21"/>
                                    </w:rPr>
                                    <w:t>放空火炬</w:t>
                                  </w:r>
                                </w:p>
                              </w:txbxContent>
                            </wps:txbx>
                            <wps:bodyPr upright="1"/>
                          </wps:wsp>
                        </a:graphicData>
                      </a:graphic>
                    </wp:anchor>
                  </w:drawing>
                </mc:Choice>
                <mc:Fallback>
                  <w:pict>
                    <v:shape id="文本框 55" o:spid="_x0000_s1026" o:spt="202" type="#_x0000_t202" style="position:absolute;left:0pt;margin-left:41.2pt;margin-top:9.5pt;height:25.5pt;width:147pt;z-index:251677696;mso-width-relative:page;mso-height-relative:page;" filled="f" stroked="f"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v:fill on="f" focussize="0,0"/>
                      <v:stroke on="f" weight="0.5pt"/>
                      <v:imagedata o:title=""/>
                      <o:lock v:ext="edit" aspectratio="f"/>
                      <v:textbox>
                        <w:txbxContent>
                          <w:p>
                            <w:r>
                              <w:rPr>
                                <w:rFonts w:hint="eastAsia"/>
                                <w:b/>
                                <w:bCs/>
                                <w:szCs w:val="21"/>
                              </w:rPr>
                              <w:t>图</w:t>
                            </w:r>
                            <w:r>
                              <w:rPr>
                                <w:b/>
                                <w:bCs/>
                                <w:szCs w:val="21"/>
                              </w:rPr>
                              <w:t>6</w:t>
                            </w:r>
                            <w:r>
                              <w:rPr>
                                <w:rFonts w:hint="eastAsia"/>
                                <w:b/>
                                <w:bCs/>
                                <w:szCs w:val="21"/>
                              </w:rPr>
                              <w:t>-</w:t>
                            </w:r>
                            <w:r>
                              <w:rPr>
                                <w:b/>
                                <w:bCs/>
                                <w:szCs w:val="21"/>
                              </w:rPr>
                              <w:t>1</w:t>
                            </w:r>
                            <w:r>
                              <w:rPr>
                                <w:rFonts w:hint="eastAsia"/>
                                <w:b/>
                                <w:bCs/>
                                <w:szCs w:val="21"/>
                              </w:rPr>
                              <w:t>保德首站</w:t>
                            </w:r>
                            <w:r>
                              <w:rPr>
                                <w:b/>
                                <w:bCs/>
                                <w:szCs w:val="21"/>
                              </w:rPr>
                              <w:t>放空火炬</w:t>
                            </w:r>
                          </w:p>
                        </w:txbxContent>
                      </v:textbox>
                    </v:shape>
                  </w:pict>
                </mc:Fallback>
              </mc:AlternateContent>
            </w:r>
          </w:p>
          <w:p>
            <w:pPr>
              <w:spacing w:line="460" w:lineRule="exact"/>
              <w:rPr>
                <w:color w:val="FF0000"/>
                <w:sz w:val="24"/>
              </w:rPr>
            </w:pPr>
          </w:p>
          <w:p>
            <w:pPr>
              <w:spacing w:line="460" w:lineRule="exact"/>
              <w:rPr>
                <w:color w:val="FF0000"/>
                <w:sz w:val="24"/>
              </w:rPr>
            </w:pPr>
          </w:p>
          <w:p>
            <w:pPr>
              <w:spacing w:line="460" w:lineRule="exact"/>
              <w:rPr>
                <w:color w:val="FF0000"/>
                <w:sz w:val="24"/>
              </w:rPr>
            </w:pPr>
            <w:r>
              <w:rPr>
                <w:color w:val="FF0000"/>
                <w:sz w:val="24"/>
              </w:rPr>
              <w:drawing>
                <wp:anchor distT="0" distB="0" distL="114300" distR="114300" simplePos="0" relativeHeight="251680768" behindDoc="0" locked="0" layoutInCell="1" allowOverlap="1">
                  <wp:simplePos x="0" y="0"/>
                  <wp:positionH relativeFrom="column">
                    <wp:posOffset>204470</wp:posOffset>
                  </wp:positionH>
                  <wp:positionV relativeFrom="paragraph">
                    <wp:posOffset>191135</wp:posOffset>
                  </wp:positionV>
                  <wp:extent cx="2667000" cy="1619250"/>
                  <wp:effectExtent l="0" t="0" r="0" b="0"/>
                  <wp:wrapNone/>
                  <wp:docPr id="4" name="图片 23" descr="C:\Users\lenovo\AppData\Roaming\Tencent\Users\346914618\QQ\WinTemp\RichOle\HW4GELD5(Y4CGZ5NNI3T(U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3" descr="C:\Users\lenovo\AppData\Roaming\Tencent\Users\346914618\QQ\WinTemp\RichOle\HW4GELD5(Y4CGZ5NNI3T(U3.png"/>
                          <pic:cNvPicPr>
                            <a:picLocks noChangeAspect="1" noChangeArrowheads="1"/>
                          </pic:cNvPicPr>
                        </pic:nvPicPr>
                        <pic:blipFill>
                          <a:blip r:embed="rId16" cstate="print"/>
                          <a:srcRect/>
                          <a:stretch>
                            <a:fillRect/>
                          </a:stretch>
                        </pic:blipFill>
                        <pic:spPr>
                          <a:xfrm>
                            <a:off x="0" y="0"/>
                            <a:ext cx="2667000" cy="1619250"/>
                          </a:xfrm>
                          <a:prstGeom prst="rect">
                            <a:avLst/>
                          </a:prstGeom>
                          <a:noFill/>
                          <a:ln w="9525">
                            <a:noFill/>
                            <a:miter lim="800000"/>
                            <a:headEnd/>
                            <a:tailEnd/>
                          </a:ln>
                        </pic:spPr>
                      </pic:pic>
                    </a:graphicData>
                  </a:graphic>
                </wp:anchor>
              </w:drawing>
            </w: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p>
          <w:p>
            <w:pPr>
              <w:spacing w:line="460" w:lineRule="exact"/>
              <w:rPr>
                <w:color w:val="FF0000"/>
                <w:sz w:val="24"/>
              </w:rPr>
            </w:pPr>
            <w:r>
              <w:rPr>
                <w:color w:val="FF0000"/>
                <w:sz w:val="24"/>
              </w:rPr>
              <mc:AlternateContent>
                <mc:Choice Requires="wps">
                  <w:drawing>
                    <wp:anchor distT="0" distB="0" distL="114300" distR="114300" simplePos="0" relativeHeight="251678720" behindDoc="0" locked="0" layoutInCell="1" allowOverlap="1">
                      <wp:simplePos x="0" y="0"/>
                      <wp:positionH relativeFrom="column">
                        <wp:posOffset>666115</wp:posOffset>
                      </wp:positionH>
                      <wp:positionV relativeFrom="paragraph">
                        <wp:posOffset>196850</wp:posOffset>
                      </wp:positionV>
                      <wp:extent cx="1866900" cy="323850"/>
                      <wp:effectExtent l="0" t="0" r="0" b="0"/>
                      <wp:wrapNone/>
                      <wp:docPr id="29" name="文本框 144"/>
                      <wp:cNvGraphicFramePr/>
                      <a:graphic xmlns:a="http://schemas.openxmlformats.org/drawingml/2006/main">
                        <a:graphicData uri="http://schemas.microsoft.com/office/word/2010/wordprocessingShape">
                          <wps:wsp>
                            <wps:cNvSpPr txBox="1"/>
                            <wps:spPr>
                              <a:xfrm>
                                <a:off x="0" y="0"/>
                                <a:ext cx="1866900" cy="323850"/>
                              </a:xfrm>
                              <a:prstGeom prst="rect">
                                <a:avLst/>
                              </a:prstGeom>
                              <a:noFill/>
                              <a:ln w="6350">
                                <a:noFill/>
                              </a:ln>
                            </wps:spPr>
                            <wps:txbx>
                              <w:txbxContent>
                                <w:p>
                                  <w:r>
                                    <w:rPr>
                                      <w:rFonts w:hint="eastAsia"/>
                                      <w:b/>
                                      <w:bCs/>
                                      <w:szCs w:val="21"/>
                                    </w:rPr>
                                    <w:t>图</w:t>
                                  </w:r>
                                  <w:r>
                                    <w:rPr>
                                      <w:b/>
                                      <w:bCs/>
                                      <w:szCs w:val="21"/>
                                    </w:rPr>
                                    <w:t>6</w:t>
                                  </w:r>
                                  <w:r>
                                    <w:rPr>
                                      <w:rFonts w:hint="eastAsia"/>
                                      <w:b/>
                                      <w:bCs/>
                                      <w:szCs w:val="21"/>
                                    </w:rPr>
                                    <w:t>-</w:t>
                                  </w:r>
                                  <w:r>
                                    <w:rPr>
                                      <w:b/>
                                      <w:bCs/>
                                      <w:szCs w:val="21"/>
                                    </w:rPr>
                                    <w:t>3</w:t>
                                  </w:r>
                                  <w:r>
                                    <w:rPr>
                                      <w:rFonts w:hint="eastAsia"/>
                                      <w:b/>
                                      <w:bCs/>
                                      <w:szCs w:val="21"/>
                                    </w:rPr>
                                    <w:t>保德首站排污池</w:t>
                                  </w:r>
                                </w:p>
                              </w:txbxContent>
                            </wps:txbx>
                            <wps:bodyPr upright="1"/>
                          </wps:wsp>
                        </a:graphicData>
                      </a:graphic>
                    </wp:anchor>
                  </w:drawing>
                </mc:Choice>
                <mc:Fallback>
                  <w:pict>
                    <v:shape id="文本框 144" o:spid="_x0000_s1026" o:spt="202" type="#_x0000_t202" style="position:absolute;left:0pt;margin-left:52.45pt;margin-top:15.5pt;height:25.5pt;width:147pt;z-index:251678720;mso-width-relative:page;mso-height-relative:page;" filled="f" stroked="f"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W1wMQA&#10;AADcAAAADwAAAGRycy9kb3ducmV2LnhtbERPTWvCQBC9F/wPyxR6q5uKSkhdJQSCpehB66W3aXZM&#10;QrOzMbsmaX99VxB6m8f7nNVmNI3oqXO1ZQUv0wgEcWF1zaWC00f+HINwHlljY5kU/JCDzXrysMJE&#10;24EP1B99KUIIuwQVVN63iZSuqMigm9qWOHBn2xn0AXal1B0OIdw0chZFS2mw5tBQYUtZRcX38WoU&#10;vGf5Hg9fMxP/Ntl2d07by+lzodTT45i+gvA0+n/x3f2mw/z5HG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FtcDEAAAA3AAAAA8AAAAAAAAAAAAAAAAAmAIAAGRycy9k&#10;b3ducmV2LnhtbFBLBQYAAAAABAAEAPUAAACJAwAAAAA=&#10;">
                      <v:fill on="f" focussize="0,0"/>
                      <v:stroke on="f" weight="0.5pt"/>
                      <v:imagedata o:title=""/>
                      <o:lock v:ext="edit" aspectratio="f"/>
                      <v:textbox>
                        <w:txbxContent>
                          <w:p>
                            <w:r>
                              <w:rPr>
                                <w:rFonts w:hint="eastAsia"/>
                                <w:b/>
                                <w:bCs/>
                                <w:szCs w:val="21"/>
                              </w:rPr>
                              <w:t>图</w:t>
                            </w:r>
                            <w:r>
                              <w:rPr>
                                <w:b/>
                                <w:bCs/>
                                <w:szCs w:val="21"/>
                              </w:rPr>
                              <w:t>6</w:t>
                            </w:r>
                            <w:r>
                              <w:rPr>
                                <w:rFonts w:hint="eastAsia"/>
                                <w:b/>
                                <w:bCs/>
                                <w:szCs w:val="21"/>
                              </w:rPr>
                              <w:t>-</w:t>
                            </w:r>
                            <w:r>
                              <w:rPr>
                                <w:b/>
                                <w:bCs/>
                                <w:szCs w:val="21"/>
                              </w:rPr>
                              <w:t>3</w:t>
                            </w:r>
                            <w:r>
                              <w:rPr>
                                <w:rFonts w:hint="eastAsia"/>
                                <w:b/>
                                <w:bCs/>
                                <w:szCs w:val="21"/>
                              </w:rPr>
                              <w:t>保德首站排污池</w:t>
                            </w:r>
                          </w:p>
                        </w:txbxContent>
                      </v:textbox>
                    </v:shape>
                  </w:pict>
                </mc:Fallback>
              </mc:AlternateContent>
            </w:r>
          </w:p>
          <w:p>
            <w:pPr>
              <w:spacing w:line="460" w:lineRule="exact"/>
              <w:rPr>
                <w:color w:val="FF0000"/>
                <w:sz w:val="24"/>
              </w:rPr>
            </w:pPr>
          </w:p>
          <w:p>
            <w:pPr>
              <w:spacing w:line="460" w:lineRule="exact"/>
              <w:rPr>
                <w:sz w:val="24"/>
              </w:rPr>
            </w:pPr>
            <w:r>
              <w:rPr>
                <w:rFonts w:hint="eastAsia"/>
                <w:sz w:val="24"/>
              </w:rPr>
              <w:t>1、保德首</w:t>
            </w:r>
            <w:r>
              <w:rPr>
                <w:sz w:val="24"/>
              </w:rPr>
              <w:t>站</w:t>
            </w:r>
            <w:r>
              <w:rPr>
                <w:rFonts w:hint="eastAsia"/>
                <w:sz w:val="24"/>
              </w:rPr>
              <w:t>绿化</w:t>
            </w:r>
            <w:r>
              <w:rPr>
                <w:sz w:val="24"/>
              </w:rPr>
              <w:t>措施和</w:t>
            </w:r>
            <w:r>
              <w:rPr>
                <w:rFonts w:hint="eastAsia"/>
                <w:sz w:val="24"/>
              </w:rPr>
              <w:t>环境</w:t>
            </w:r>
            <w:r>
              <w:rPr>
                <w:sz w:val="24"/>
              </w:rPr>
              <w:t>风险防范措施</w:t>
            </w:r>
            <w:r>
              <w:rPr>
                <w:rFonts w:hint="eastAsia"/>
                <w:sz w:val="24"/>
              </w:rPr>
              <w:t>以及</w:t>
            </w:r>
            <w:r>
              <w:rPr>
                <w:sz w:val="24"/>
              </w:rPr>
              <w:t>环境管理相关</w:t>
            </w:r>
            <w:r>
              <w:rPr>
                <w:rFonts w:hint="eastAsia"/>
                <w:sz w:val="24"/>
              </w:rPr>
              <w:t>现场照片</w:t>
            </w:r>
            <w:r>
              <w:rPr>
                <w:sz w:val="24"/>
              </w:rPr>
              <w:t>：</w:t>
            </w:r>
          </w:p>
          <w:p>
            <w:pPr>
              <w:rPr>
                <w:rFonts w:ascii="宋体" w:hAnsi="宋体" w:cs="宋体"/>
                <w:kern w:val="0"/>
                <w:sz w:val="24"/>
              </w:rPr>
            </w:pPr>
            <w:r>
              <w:rPr>
                <w:rFonts w:hint="eastAsia"/>
                <w:color w:val="FF0000"/>
                <w:sz w:val="24"/>
              </w:rPr>
              <w:t xml:space="preserve"> </w:t>
            </w:r>
            <w:r>
              <w:rPr>
                <w:rFonts w:ascii="宋体" w:hAnsi="宋体" w:cs="宋体"/>
                <w:kern w:val="0"/>
                <w:sz w:val="24"/>
              </w:rPr>
              <w:drawing>
                <wp:inline distT="0" distB="0" distL="0" distR="0">
                  <wp:extent cx="2736215" cy="1823720"/>
                  <wp:effectExtent l="19050" t="0" r="6549" b="0"/>
                  <wp:docPr id="27" name="图片 27" descr="C:\Users\lenovo\AppData\Roaming\Tencent\Users\346914618\QQ\WinTemp\RichOle\]N]2_]HH{_YEP6RXTGN7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C:\Users\lenovo\AppData\Roaming\Tencent\Users\346914618\QQ\WinTemp\RichOle\]N]2_]HH{_YEP6RXTGN74`8.png"/>
                          <pic:cNvPicPr>
                            <a:picLocks noChangeAspect="1" noChangeArrowheads="1"/>
                          </pic:cNvPicPr>
                        </pic:nvPicPr>
                        <pic:blipFill>
                          <a:blip r:embed="rId17" cstate="print"/>
                          <a:srcRect/>
                          <a:stretch>
                            <a:fillRect/>
                          </a:stretch>
                        </pic:blipFill>
                        <pic:spPr>
                          <a:xfrm>
                            <a:off x="0" y="0"/>
                            <a:ext cx="2745105" cy="1829354"/>
                          </a:xfrm>
                          <a:prstGeom prst="rect">
                            <a:avLst/>
                          </a:prstGeom>
                          <a:noFill/>
                          <a:ln w="9525">
                            <a:noFill/>
                            <a:miter lim="800000"/>
                            <a:headEnd/>
                            <a:tailEnd/>
                          </a:ln>
                        </pic:spPr>
                      </pic:pic>
                    </a:graphicData>
                  </a:graphic>
                </wp:inline>
              </w:drawing>
            </w:r>
            <w:r>
              <w:rPr>
                <w:rFonts w:hint="eastAsia"/>
                <w:color w:val="FF0000"/>
                <w:sz w:val="24"/>
              </w:rPr>
              <w:t xml:space="preserve"> </w:t>
            </w:r>
            <w:r>
              <w:rPr>
                <w:rFonts w:ascii="宋体" w:hAnsi="宋体" w:cs="宋体"/>
                <w:kern w:val="0"/>
                <w:sz w:val="24"/>
              </w:rPr>
              <w:drawing>
                <wp:inline distT="0" distB="0" distL="0" distR="0">
                  <wp:extent cx="2716530" cy="1823720"/>
                  <wp:effectExtent l="19050" t="0" r="7620" b="0"/>
                  <wp:docPr id="31" name="图片 31" descr="C:\Users\lenovo\AppData\Roaming\Tencent\Users\346914618\QQ\WinTemp\RichOle\QB}$OJJUEFRYX~839FE1)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C:\Users\lenovo\AppData\Roaming\Tencent\Users\346914618\QQ\WinTemp\RichOle\QB}$OJJUEFRYX~839FE1)A9.png"/>
                          <pic:cNvPicPr>
                            <a:picLocks noChangeAspect="1" noChangeArrowheads="1"/>
                          </pic:cNvPicPr>
                        </pic:nvPicPr>
                        <pic:blipFill>
                          <a:blip r:embed="rId18" cstate="print"/>
                          <a:srcRect/>
                          <a:stretch>
                            <a:fillRect/>
                          </a:stretch>
                        </pic:blipFill>
                        <pic:spPr>
                          <a:xfrm>
                            <a:off x="0" y="0"/>
                            <a:ext cx="2721549" cy="1827603"/>
                          </a:xfrm>
                          <a:prstGeom prst="rect">
                            <a:avLst/>
                          </a:prstGeom>
                          <a:noFill/>
                          <a:ln w="9525">
                            <a:noFill/>
                            <a:miter lim="800000"/>
                            <a:headEnd/>
                            <a:tailEnd/>
                          </a:ln>
                        </pic:spPr>
                      </pic:pic>
                    </a:graphicData>
                  </a:graphic>
                </wp:inline>
              </w:drawing>
            </w:r>
          </w:p>
          <w:p>
            <w:pPr>
              <w:rPr>
                <w:rFonts w:ascii="宋体" w:hAnsi="宋体" w:cs="宋体"/>
                <w:kern w:val="0"/>
                <w:sz w:val="24"/>
              </w:rPr>
            </w:pPr>
            <w:r>
              <w:rPr>
                <w:rFonts w:hint="eastAsia"/>
                <w:color w:val="FF0000"/>
                <w:sz w:val="24"/>
              </w:rPr>
              <w:t xml:space="preserve"> </w:t>
            </w:r>
            <w:r>
              <w:rPr>
                <w:rFonts w:ascii="宋体" w:hAnsi="宋体" w:cs="宋体"/>
                <w:kern w:val="0"/>
                <w:sz w:val="24"/>
              </w:rPr>
              <w:drawing>
                <wp:inline distT="0" distB="0" distL="0" distR="0">
                  <wp:extent cx="2736850" cy="1857375"/>
                  <wp:effectExtent l="19050" t="0" r="6350" b="0"/>
                  <wp:docPr id="35" name="图片 35" descr="C:\Users\lenovo\AppData\Roaming\Tencent\Users\346914618\QQ\WinTemp\RichOle\S_C9XWYMPE8_YYJEELAHN7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C:\Users\lenovo\AppData\Roaming\Tencent\Users\346914618\QQ\WinTemp\RichOle\S_C9XWYMPE8_YYJEELAHN7L.png"/>
                          <pic:cNvPicPr>
                            <a:picLocks noChangeAspect="1" noChangeArrowheads="1"/>
                          </pic:cNvPicPr>
                        </pic:nvPicPr>
                        <pic:blipFill>
                          <a:blip r:embed="rId19" cstate="print"/>
                          <a:srcRect/>
                          <a:stretch>
                            <a:fillRect/>
                          </a:stretch>
                        </pic:blipFill>
                        <pic:spPr>
                          <a:xfrm>
                            <a:off x="0" y="0"/>
                            <a:ext cx="2736850" cy="1857375"/>
                          </a:xfrm>
                          <a:prstGeom prst="rect">
                            <a:avLst/>
                          </a:prstGeom>
                          <a:noFill/>
                          <a:ln w="9525">
                            <a:noFill/>
                            <a:miter lim="800000"/>
                            <a:headEnd/>
                            <a:tailEnd/>
                          </a:ln>
                        </pic:spPr>
                      </pic:pic>
                    </a:graphicData>
                  </a:graphic>
                </wp:inline>
              </w:drawing>
            </w:r>
            <w:r>
              <w:rPr>
                <w:rFonts w:hint="eastAsia"/>
                <w:color w:val="FF0000"/>
                <w:sz w:val="24"/>
              </w:rPr>
              <w:t xml:space="preserve"> </w:t>
            </w:r>
            <w:r>
              <w:rPr>
                <w:rFonts w:ascii="宋体" w:hAnsi="宋体" w:cs="宋体"/>
                <w:kern w:val="0"/>
                <w:sz w:val="24"/>
              </w:rPr>
              <w:drawing>
                <wp:inline distT="0" distB="0" distL="0" distR="0">
                  <wp:extent cx="2716530" cy="1855470"/>
                  <wp:effectExtent l="19050" t="0" r="7620" b="0"/>
                  <wp:docPr id="6" name="图片 39" descr="C:\Users\lenovo\AppData\Roaming\Tencent\Users\346914618\QQ\WinTemp\RichOle\OYP2[}WI{8OVLAMT8KALJ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9" descr="C:\Users\lenovo\AppData\Roaming\Tencent\Users\346914618\QQ\WinTemp\RichOle\OYP2[}WI{8OVLAMT8KALJSR.png"/>
                          <pic:cNvPicPr>
                            <a:picLocks noChangeAspect="1" noChangeArrowheads="1"/>
                          </pic:cNvPicPr>
                        </pic:nvPicPr>
                        <pic:blipFill>
                          <a:blip r:embed="rId20" cstate="print"/>
                          <a:srcRect/>
                          <a:stretch>
                            <a:fillRect/>
                          </a:stretch>
                        </pic:blipFill>
                        <pic:spPr>
                          <a:xfrm>
                            <a:off x="0" y="0"/>
                            <a:ext cx="2718365" cy="1857117"/>
                          </a:xfrm>
                          <a:prstGeom prst="rect">
                            <a:avLst/>
                          </a:prstGeom>
                          <a:noFill/>
                          <a:ln w="9525">
                            <a:noFill/>
                            <a:miter lim="800000"/>
                            <a:headEnd/>
                            <a:tailEnd/>
                          </a:ln>
                        </pic:spPr>
                      </pic:pic>
                    </a:graphicData>
                  </a:graphic>
                </wp:inline>
              </w:drawing>
            </w:r>
          </w:p>
          <w:p>
            <w:pPr>
              <w:spacing w:line="360" w:lineRule="auto"/>
              <w:rPr>
                <w:color w:val="FF0000"/>
                <w:sz w:val="24"/>
              </w:rPr>
            </w:pPr>
          </w:p>
          <w:p>
            <w:pPr>
              <w:spacing w:line="360" w:lineRule="auto"/>
              <w:rPr>
                <w:color w:val="FF0000"/>
                <w:sz w:val="24"/>
              </w:rPr>
            </w:pPr>
          </w:p>
          <w:p>
            <w:pPr>
              <w:spacing w:line="360" w:lineRule="auto"/>
              <w:rPr>
                <w:color w:val="FF0000"/>
                <w:sz w:val="24"/>
              </w:rPr>
            </w:pPr>
          </w:p>
          <w:p>
            <w:pPr>
              <w:spacing w:line="360" w:lineRule="auto"/>
              <w:rPr>
                <w:color w:val="FF0000"/>
                <w:sz w:val="24"/>
              </w:rPr>
            </w:pPr>
          </w:p>
          <w:p>
            <w:pPr>
              <w:spacing w:line="360" w:lineRule="auto"/>
              <w:rPr>
                <w:color w:val="FF0000"/>
                <w:sz w:val="24"/>
              </w:rPr>
            </w:pPr>
          </w:p>
          <w:p>
            <w:pPr>
              <w:spacing w:line="360" w:lineRule="auto"/>
              <w:rPr>
                <w:color w:val="FF0000"/>
                <w:sz w:val="24"/>
              </w:rPr>
            </w:pPr>
          </w:p>
          <w:p>
            <w:pPr>
              <w:spacing w:line="360" w:lineRule="auto"/>
              <w:rPr>
                <w:color w:val="FF0000"/>
                <w:sz w:val="24"/>
              </w:rPr>
            </w:pPr>
          </w:p>
        </w:tc>
      </w:tr>
    </w:tbl>
    <w:p>
      <w:pPr>
        <w:spacing w:line="360" w:lineRule="auto"/>
        <w:rPr>
          <w:color w:val="FF0000"/>
          <w:sz w:val="24"/>
        </w:rPr>
        <w:sectPr>
          <w:pgSz w:w="11906" w:h="16838"/>
          <w:pgMar w:top="1701" w:right="1304" w:bottom="1134" w:left="1418" w:header="1134" w:footer="992" w:gutter="0"/>
          <w:cols w:space="425" w:num="1"/>
          <w:docGrid w:type="lines" w:linePitch="312" w:charSpace="0"/>
        </w:sectPr>
      </w:pPr>
    </w:p>
    <w:p>
      <w:pPr>
        <w:pStyle w:val="4"/>
        <w:spacing w:before="156" w:after="156"/>
        <w:rPr>
          <w:rFonts w:ascii="Times New Roman"/>
          <w:sz w:val="30"/>
          <w:szCs w:val="30"/>
        </w:rPr>
      </w:pPr>
      <w:bookmarkStart w:id="63" w:name="_Toc443915687"/>
      <w:bookmarkStart w:id="64" w:name="_Toc328647956"/>
      <w:bookmarkStart w:id="65" w:name="_Toc297795033"/>
      <w:r>
        <w:rPr>
          <w:rFonts w:ascii="Times New Roman"/>
          <w:sz w:val="30"/>
          <w:szCs w:val="30"/>
        </w:rPr>
        <w:t>表7  环境影响调查</w:t>
      </w:r>
      <w:bookmarkEnd w:id="63"/>
      <w:bookmarkEnd w:id="64"/>
      <w:bookmarkEnd w:id="65"/>
    </w:p>
    <w:tbl>
      <w:tblPr>
        <w:tblStyle w:val="3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8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468" w:type="dxa"/>
            <w:vAlign w:val="center"/>
          </w:tcPr>
          <w:p>
            <w:pPr>
              <w:jc w:val="center"/>
              <w:rPr>
                <w:sz w:val="24"/>
              </w:rPr>
            </w:pPr>
            <w:r>
              <w:rPr>
                <w:sz w:val="24"/>
              </w:rPr>
              <w:t>施工期</w:t>
            </w:r>
          </w:p>
          <w:p>
            <w:pPr>
              <w:jc w:val="center"/>
              <w:rPr>
                <w:color w:val="FF0000"/>
                <w:sz w:val="24"/>
              </w:rPr>
            </w:pPr>
            <w:r>
              <w:rPr>
                <w:sz w:val="24"/>
              </w:rPr>
              <w:t>污染影响</w:t>
            </w:r>
          </w:p>
        </w:tc>
        <w:tc>
          <w:tcPr>
            <w:tcW w:w="8932" w:type="dxa"/>
          </w:tcPr>
          <w:p>
            <w:pPr>
              <w:spacing w:line="460" w:lineRule="exact"/>
              <w:ind w:firstLine="480" w:firstLineChars="200"/>
              <w:rPr>
                <w:sz w:val="24"/>
              </w:rPr>
            </w:pPr>
            <w:r>
              <w:rPr>
                <w:sz w:val="24"/>
              </w:rPr>
              <w:t>本工程施工期主要有废气、废水、噪声、固体废物等污染源。</w:t>
            </w:r>
          </w:p>
          <w:p>
            <w:pPr>
              <w:spacing w:line="460" w:lineRule="exact"/>
              <w:ind w:firstLine="480" w:firstLineChars="200"/>
              <w:rPr>
                <w:sz w:val="24"/>
              </w:rPr>
            </w:pPr>
            <w:r>
              <w:rPr>
                <w:sz w:val="24"/>
              </w:rPr>
              <w:t>1、环境空气</w:t>
            </w:r>
          </w:p>
          <w:p>
            <w:pPr>
              <w:spacing w:line="460" w:lineRule="exact"/>
              <w:ind w:firstLine="480" w:firstLineChars="200"/>
              <w:rPr>
                <w:sz w:val="24"/>
              </w:rPr>
            </w:pPr>
            <w:r>
              <w:rPr>
                <w:sz w:val="24"/>
              </w:rPr>
              <w:t>本项目施工期间对环境空气影响最大的是管沟开挖过程中产生的扬尘，以及材料在运送、堆放、使用过程所产生的粉尘，管沟填埋和清运多余土方产生的扬尘，焊接、打磨管道产生的化学废气和粉尘。</w:t>
            </w:r>
          </w:p>
          <w:p>
            <w:pPr>
              <w:tabs>
                <w:tab w:val="left" w:pos="1260"/>
              </w:tabs>
              <w:spacing w:line="460" w:lineRule="exact"/>
              <w:ind w:firstLine="480" w:firstLineChars="200"/>
              <w:rPr>
                <w:sz w:val="24"/>
              </w:rPr>
            </w:pPr>
            <w:r>
              <w:rPr>
                <w:sz w:val="24"/>
              </w:rPr>
              <w:t>经调查，对于距离施工较近的村庄在施工过程中实施加强开挖处遮挡、施工场地和过往道路的洒水抑尘、运输散装物料加盖篷布、洒落在地物料及时清理等临时防护措施。</w:t>
            </w:r>
          </w:p>
          <w:p>
            <w:pPr>
              <w:tabs>
                <w:tab w:val="left" w:pos="1260"/>
              </w:tabs>
              <w:spacing w:line="460" w:lineRule="exact"/>
              <w:ind w:firstLine="480" w:firstLineChars="200"/>
              <w:rPr>
                <w:sz w:val="24"/>
              </w:rPr>
            </w:pPr>
            <w:r>
              <w:rPr>
                <w:sz w:val="24"/>
              </w:rPr>
              <w:t>2、环境噪声影响</w:t>
            </w:r>
          </w:p>
          <w:p>
            <w:pPr>
              <w:tabs>
                <w:tab w:val="left" w:pos="1260"/>
              </w:tabs>
              <w:spacing w:line="460" w:lineRule="exact"/>
              <w:ind w:firstLine="480" w:firstLineChars="200"/>
              <w:rPr>
                <w:sz w:val="24"/>
              </w:rPr>
            </w:pPr>
            <w:r>
              <w:rPr>
                <w:sz w:val="24"/>
              </w:rPr>
              <w:t>施工期的噪声可分为机械噪声、施工作业噪声和施工车辆噪声，在这些施工噪声中对声环境影响最大的是机械噪声。</w:t>
            </w:r>
          </w:p>
          <w:p>
            <w:pPr>
              <w:tabs>
                <w:tab w:val="left" w:pos="1260"/>
              </w:tabs>
              <w:spacing w:line="460" w:lineRule="exact"/>
              <w:ind w:firstLine="480" w:firstLineChars="200"/>
              <w:rPr>
                <w:sz w:val="24"/>
              </w:rPr>
            </w:pPr>
            <w:r>
              <w:rPr>
                <w:sz w:val="24"/>
              </w:rPr>
              <w:t>经调查，本项目施工期按要求使用了低噪声的施工机械，夜间禁止施工，并加强管理，无施工期投诉事件。</w:t>
            </w:r>
          </w:p>
          <w:p>
            <w:pPr>
              <w:tabs>
                <w:tab w:val="left" w:pos="1260"/>
              </w:tabs>
              <w:spacing w:line="460" w:lineRule="exact"/>
              <w:ind w:firstLine="480" w:firstLineChars="200"/>
              <w:rPr>
                <w:sz w:val="24"/>
              </w:rPr>
            </w:pPr>
            <w:r>
              <w:rPr>
                <w:sz w:val="24"/>
              </w:rPr>
              <w:t>3、水环境</w:t>
            </w:r>
          </w:p>
          <w:p>
            <w:pPr>
              <w:tabs>
                <w:tab w:val="left" w:pos="1260"/>
              </w:tabs>
              <w:spacing w:line="460" w:lineRule="exact"/>
              <w:ind w:firstLine="480" w:firstLineChars="200"/>
              <w:rPr>
                <w:sz w:val="24"/>
              </w:rPr>
            </w:pPr>
            <w:r>
              <w:rPr>
                <w:sz w:val="24"/>
              </w:rPr>
              <w:t>施工期产生的废水主要为施工人员的生活污水。</w:t>
            </w:r>
          </w:p>
          <w:p>
            <w:pPr>
              <w:tabs>
                <w:tab w:val="left" w:pos="1260"/>
              </w:tabs>
              <w:spacing w:line="460" w:lineRule="exact"/>
              <w:ind w:firstLine="480" w:firstLineChars="200"/>
              <w:rPr>
                <w:color w:val="FF0000"/>
                <w:sz w:val="24"/>
              </w:rPr>
            </w:pPr>
            <w:r>
              <w:rPr>
                <w:sz w:val="24"/>
              </w:rPr>
              <w:t>经调查，项目施工期的生活污水产生量较小，直接用于道路洒水抑尘。</w:t>
            </w:r>
          </w:p>
          <w:p>
            <w:pPr>
              <w:tabs>
                <w:tab w:val="left" w:pos="1260"/>
              </w:tabs>
              <w:spacing w:line="460" w:lineRule="exact"/>
              <w:ind w:firstLine="480" w:firstLineChars="200"/>
              <w:rPr>
                <w:sz w:val="24"/>
              </w:rPr>
            </w:pPr>
            <w:r>
              <w:rPr>
                <w:sz w:val="24"/>
              </w:rPr>
              <w:t>4、固废</w:t>
            </w:r>
          </w:p>
          <w:p>
            <w:pPr>
              <w:tabs>
                <w:tab w:val="left" w:pos="1260"/>
              </w:tabs>
              <w:spacing w:line="460" w:lineRule="exact"/>
              <w:ind w:firstLine="480" w:firstLineChars="200"/>
              <w:rPr>
                <w:sz w:val="24"/>
              </w:rPr>
            </w:pPr>
            <w:r>
              <w:rPr>
                <w:sz w:val="24"/>
              </w:rPr>
              <w:t>本项目施工期产生的固废有弃土、</w:t>
            </w:r>
            <w:r>
              <w:rPr>
                <w:rFonts w:hint="eastAsia"/>
                <w:sz w:val="24"/>
              </w:rPr>
              <w:t>河流施工泥浆、施工废料及清管、吹扫产生的粉尘</w:t>
            </w:r>
            <w:r>
              <w:rPr>
                <w:sz w:val="24"/>
              </w:rPr>
              <w:t>。</w:t>
            </w:r>
          </w:p>
          <w:p>
            <w:pPr>
              <w:tabs>
                <w:tab w:val="left" w:pos="1260"/>
              </w:tabs>
              <w:spacing w:line="460" w:lineRule="exact"/>
              <w:ind w:firstLine="480" w:firstLineChars="200"/>
              <w:rPr>
                <w:rFonts w:hint="eastAsia"/>
                <w:sz w:val="24"/>
                <w:lang w:val="en-US" w:eastAsia="zh-CN"/>
              </w:rPr>
            </w:pPr>
            <w:r>
              <w:rPr>
                <w:rFonts w:hint="eastAsia"/>
                <w:sz w:val="24"/>
                <w:lang w:val="en-US" w:eastAsia="zh-CN"/>
              </w:rPr>
              <w:t>本项目已进行过清管作业，清管作业产生的固废集中收集</w:t>
            </w:r>
            <w:r>
              <w:rPr>
                <w:rFonts w:hint="eastAsia"/>
                <w:sz w:val="24"/>
              </w:rPr>
              <w:t>后送至环保部门指定的固体废物填埋场</w:t>
            </w:r>
            <w:r>
              <w:rPr>
                <w:rFonts w:hint="eastAsia"/>
                <w:sz w:val="24"/>
                <w:lang w:val="en-US" w:eastAsia="zh-CN"/>
              </w:rPr>
              <w:t>。</w:t>
            </w:r>
          </w:p>
          <w:p>
            <w:pPr>
              <w:pStyle w:val="86"/>
              <w:ind w:firstLine="480"/>
              <w:rPr>
                <w:color w:val="FF0000"/>
              </w:rPr>
            </w:pPr>
            <w:r>
              <w:t>根据现场调查可知，施工期已经结束，以上所述的环境空气、噪声、废水、固废影响已经消失，现场也无施工期污染的迹象。施工期防范措施严格按环评要求落实。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468" w:type="dxa"/>
            <w:vAlign w:val="center"/>
          </w:tcPr>
          <w:p>
            <w:pPr>
              <w:jc w:val="center"/>
              <w:rPr>
                <w:sz w:val="24"/>
              </w:rPr>
            </w:pPr>
            <w:r>
              <w:rPr>
                <w:sz w:val="24"/>
              </w:rPr>
              <w:t>施工期</w:t>
            </w:r>
          </w:p>
          <w:p>
            <w:pPr>
              <w:jc w:val="center"/>
              <w:rPr>
                <w:color w:val="FF0000"/>
                <w:sz w:val="24"/>
              </w:rPr>
            </w:pPr>
            <w:r>
              <w:rPr>
                <w:sz w:val="24"/>
              </w:rPr>
              <w:t>生态影响</w:t>
            </w:r>
          </w:p>
        </w:tc>
        <w:tc>
          <w:tcPr>
            <w:tcW w:w="8932" w:type="dxa"/>
          </w:tcPr>
          <w:p>
            <w:pPr>
              <w:adjustRightInd w:val="0"/>
              <w:snapToGrid w:val="0"/>
              <w:spacing w:line="460" w:lineRule="exact"/>
              <w:ind w:firstLine="480"/>
              <w:rPr>
                <w:sz w:val="24"/>
              </w:rPr>
            </w:pPr>
            <w:r>
              <w:rPr>
                <w:sz w:val="24"/>
              </w:rPr>
              <w:t>本工程建设施工期对生态的影响主要为土地占用和管沟开挖对地表植被及土壤造成破坏。</w:t>
            </w:r>
          </w:p>
          <w:p>
            <w:pPr>
              <w:pStyle w:val="43"/>
              <w:adjustRightInd w:val="0"/>
              <w:snapToGrid w:val="0"/>
              <w:spacing w:line="460" w:lineRule="exact"/>
              <w:ind w:firstLine="480" w:firstLineChars="0"/>
              <w:rPr>
                <w:bCs w:val="0"/>
                <w:sz w:val="24"/>
                <w:szCs w:val="24"/>
              </w:rPr>
            </w:pPr>
            <w:r>
              <w:rPr>
                <w:bCs w:val="0"/>
                <w:sz w:val="24"/>
                <w:szCs w:val="24"/>
              </w:rPr>
              <w:t>1、对沿线植被</w:t>
            </w:r>
            <w:r>
              <w:rPr>
                <w:rFonts w:hint="eastAsia"/>
                <w:bCs w:val="0"/>
                <w:sz w:val="24"/>
                <w:szCs w:val="24"/>
              </w:rPr>
              <w:t>影响</w:t>
            </w:r>
            <w:r>
              <w:rPr>
                <w:bCs w:val="0"/>
                <w:sz w:val="24"/>
                <w:szCs w:val="24"/>
              </w:rPr>
              <w:t>调查</w:t>
            </w:r>
          </w:p>
          <w:p>
            <w:pPr>
              <w:spacing w:line="460" w:lineRule="exact"/>
              <w:ind w:firstLine="475" w:firstLineChars="198"/>
              <w:outlineLvl w:val="1"/>
              <w:rPr>
                <w:color w:val="FF0000"/>
                <w:sz w:val="24"/>
              </w:rPr>
            </w:pPr>
            <w:r>
              <w:rPr>
                <w:sz w:val="24"/>
              </w:rPr>
              <w:t>根据现场调查和资料统计，管道所经区域地形地貌较为复杂，地貌单元主要为</w:t>
            </w:r>
            <w:r>
              <w:rPr>
                <w:rFonts w:hint="eastAsia"/>
                <w:sz w:val="24"/>
              </w:rPr>
              <w:t>山地</w:t>
            </w:r>
            <w:r>
              <w:rPr>
                <w:sz w:val="24"/>
              </w:rPr>
              <w:t>区、丘陵区</w:t>
            </w:r>
            <w:r>
              <w:rPr>
                <w:rFonts w:hint="eastAsia"/>
                <w:sz w:val="24"/>
              </w:rPr>
              <w:t>。</w:t>
            </w:r>
            <w:r>
              <w:rPr>
                <w:sz w:val="24"/>
              </w:rPr>
              <w:t>全线地势起伏较大。</w:t>
            </w:r>
          </w:p>
          <w:p>
            <w:pPr>
              <w:spacing w:line="460" w:lineRule="exact"/>
              <w:ind w:firstLine="475" w:firstLineChars="198"/>
              <w:outlineLvl w:val="1"/>
              <w:rPr>
                <w:sz w:val="24"/>
              </w:rPr>
            </w:pPr>
            <w:r>
              <w:rPr>
                <w:sz w:val="24"/>
              </w:rPr>
              <w:t>管线200m范围内的土地类型，主要为旱地、林地、灌木丛地等，大部分以旱地和灌木为主，林地较少。</w:t>
            </w:r>
          </w:p>
          <w:p>
            <w:pPr>
              <w:adjustRightInd w:val="0"/>
              <w:snapToGrid w:val="0"/>
              <w:spacing w:line="460" w:lineRule="exact"/>
              <w:ind w:firstLine="480"/>
              <w:rPr>
                <w:sz w:val="24"/>
              </w:rPr>
            </w:pPr>
            <w:r>
              <w:rPr>
                <w:sz w:val="24"/>
              </w:rPr>
              <w:t>经调查，建设单位采取了一系列的防治措施，主要如下：</w:t>
            </w:r>
          </w:p>
          <w:p>
            <w:pPr>
              <w:adjustRightInd w:val="0"/>
              <w:snapToGrid w:val="0"/>
              <w:spacing w:line="460" w:lineRule="exact"/>
              <w:ind w:firstLine="480"/>
              <w:rPr>
                <w:bCs/>
                <w:sz w:val="24"/>
              </w:rPr>
            </w:pPr>
            <w:r>
              <w:rPr>
                <w:rFonts w:hint="eastAsia" w:ascii="宋体" w:hAnsi="宋体" w:cs="宋体"/>
                <w:sz w:val="24"/>
              </w:rPr>
              <w:t>①</w:t>
            </w:r>
            <w:r>
              <w:rPr>
                <w:rFonts w:ascii="宋体" w:hAnsi="宋体" w:cs="宋体"/>
                <w:bCs/>
                <w:sz w:val="24"/>
              </w:rPr>
              <w:t>严格按设计及环保要求控制施工作业带在1</w:t>
            </w:r>
            <w:r>
              <w:rPr>
                <w:bCs/>
                <w:sz w:val="24"/>
              </w:rPr>
              <w:t>2m</w:t>
            </w:r>
            <w:r>
              <w:rPr>
                <w:rFonts w:ascii="宋体" w:hAnsi="宋体" w:cs="宋体"/>
                <w:bCs/>
                <w:sz w:val="24"/>
              </w:rPr>
              <w:t>范围内，严禁碾压作业带以外草场、植物；</w:t>
            </w:r>
            <w:r>
              <w:rPr>
                <w:rFonts w:ascii="宋体" w:hAnsi="宋体" w:cs="宋体"/>
                <w:sz w:val="24"/>
              </w:rPr>
              <w:t>尽量减少了临时占地面积。</w:t>
            </w:r>
            <w:r>
              <w:rPr>
                <w:sz w:val="24"/>
              </w:rPr>
              <w:t>严格控制和管理运输车辆及重型机械施工作业范围，尽可能减少了对</w:t>
            </w:r>
            <w:r>
              <w:rPr>
                <w:rFonts w:hint="eastAsia"/>
                <w:sz w:val="24"/>
              </w:rPr>
              <w:t>植被</w:t>
            </w:r>
            <w:r>
              <w:rPr>
                <w:sz w:val="24"/>
              </w:rPr>
              <w:t>破坏。</w:t>
            </w:r>
          </w:p>
          <w:p>
            <w:pPr>
              <w:adjustRightInd w:val="0"/>
              <w:snapToGrid w:val="0"/>
              <w:spacing w:line="460" w:lineRule="exact"/>
              <w:ind w:firstLine="480"/>
              <w:rPr>
                <w:sz w:val="24"/>
              </w:rPr>
            </w:pPr>
            <w:r>
              <w:rPr>
                <w:rFonts w:hint="eastAsia" w:ascii="宋体" w:hAnsi="宋体" w:cs="宋体"/>
                <w:sz w:val="24"/>
              </w:rPr>
              <w:t>②</w:t>
            </w:r>
            <w:r>
              <w:rPr>
                <w:bCs/>
                <w:sz w:val="24"/>
              </w:rPr>
              <w:t>管沟开挖严格按要求分层开挖，分层堆放，分层回填，对表层土进行了保护，以便表层植被恢复、生长；</w:t>
            </w:r>
            <w:r>
              <w:rPr>
                <w:sz w:val="24"/>
              </w:rPr>
              <w:t>在管沟开挖时，表土(耕作层土)与底层土进行了分别堆放，回填时进行了分层回填，尽可能保持了作物原有的生态环境。回填后剩余的弃土平铺在田间或作田埂、渠埂，没有随意丢弃。</w:t>
            </w:r>
          </w:p>
          <w:p>
            <w:pPr>
              <w:adjustRightInd w:val="0"/>
              <w:snapToGrid w:val="0"/>
              <w:spacing w:line="460" w:lineRule="exact"/>
              <w:ind w:firstLine="480"/>
              <w:rPr>
                <w:sz w:val="24"/>
              </w:rPr>
            </w:pPr>
            <w:r>
              <w:rPr>
                <w:rFonts w:hint="eastAsia" w:ascii="宋体" w:hAnsi="宋体" w:cs="宋体"/>
                <w:sz w:val="24"/>
              </w:rPr>
              <w:t>③</w:t>
            </w:r>
            <w:r>
              <w:rPr>
                <w:sz w:val="24"/>
              </w:rPr>
              <w:t>严禁施工材料乱堆乱放，划定了适宜的堆料场，有效的防止了对植物破坏范围扩大。</w:t>
            </w:r>
          </w:p>
          <w:p>
            <w:pPr>
              <w:adjustRightInd w:val="0"/>
              <w:snapToGrid w:val="0"/>
              <w:spacing w:line="460" w:lineRule="exact"/>
              <w:ind w:firstLine="480"/>
              <w:rPr>
                <w:sz w:val="24"/>
              </w:rPr>
            </w:pPr>
            <w:r>
              <w:rPr>
                <w:rFonts w:hint="eastAsia" w:ascii="宋体" w:hAnsi="宋体" w:cs="宋体"/>
                <w:sz w:val="24"/>
              </w:rPr>
              <w:t>④</w:t>
            </w:r>
            <w:r>
              <w:rPr>
                <w:sz w:val="24"/>
              </w:rPr>
              <w:t>妥善处理了施工期产生的各类污染物，在施工现场设置了固废回收设施，防止对重点地段的生态环境造成重大的污染，特别是对河流水体及土壤的影响。</w:t>
            </w:r>
          </w:p>
          <w:p>
            <w:pPr>
              <w:adjustRightInd w:val="0"/>
              <w:snapToGrid w:val="0"/>
              <w:spacing w:line="460" w:lineRule="exact"/>
              <w:ind w:firstLine="480"/>
              <w:rPr>
                <w:bCs/>
                <w:sz w:val="24"/>
              </w:rPr>
            </w:pPr>
            <w:r>
              <w:rPr>
                <w:rFonts w:hint="eastAsia" w:ascii="宋体" w:hAnsi="宋体" w:cs="宋体"/>
                <w:sz w:val="24"/>
              </w:rPr>
              <w:t>⑤</w:t>
            </w:r>
            <w:r>
              <w:rPr>
                <w:sz w:val="24"/>
              </w:rPr>
              <w:t>管沟开挖实行分段作业，缩短了施工时间，提高施工效率，尽量缩短了占压农田时间和减少裸地的暴露时间。另外对于管沟开挖临时弃土和剥离的表土，采取了适当的临时防护措施，如采用苫布遮盖和修建临时排水沟等，减少了水土流失。</w:t>
            </w:r>
          </w:p>
          <w:p>
            <w:pPr>
              <w:adjustRightInd w:val="0"/>
              <w:snapToGrid w:val="0"/>
              <w:spacing w:line="460" w:lineRule="exact"/>
              <w:ind w:firstLine="480"/>
              <w:rPr>
                <w:bCs/>
                <w:sz w:val="24"/>
              </w:rPr>
            </w:pPr>
            <w:r>
              <w:rPr>
                <w:rFonts w:hint="eastAsia" w:ascii="宋体" w:hAnsi="宋体" w:cs="宋体"/>
                <w:bCs/>
                <w:sz w:val="24"/>
              </w:rPr>
              <w:t>⑥</w:t>
            </w:r>
            <w:r>
              <w:rPr>
                <w:rFonts w:ascii="宋体" w:hAnsi="宋体" w:cs="宋体"/>
                <w:bCs/>
                <w:sz w:val="24"/>
              </w:rPr>
              <w:t>管沟开挖作业中在植被茂密的地段采用了人工作业，减少了对植被的破坏。</w:t>
            </w:r>
          </w:p>
          <w:p>
            <w:pPr>
              <w:adjustRightInd w:val="0"/>
              <w:snapToGrid w:val="0"/>
              <w:spacing w:line="460" w:lineRule="exact"/>
              <w:ind w:firstLine="480"/>
              <w:rPr>
                <w:bCs/>
                <w:sz w:val="24"/>
              </w:rPr>
            </w:pPr>
            <w:r>
              <w:rPr>
                <w:rFonts w:hint="eastAsia" w:ascii="宋体" w:hAnsi="宋体" w:cs="宋体"/>
                <w:bCs/>
                <w:sz w:val="24"/>
              </w:rPr>
              <w:t>⑦</w:t>
            </w:r>
            <w:r>
              <w:rPr>
                <w:bCs/>
                <w:sz w:val="24"/>
              </w:rPr>
              <w:t>加强了施工期地貌恢复施工管理。对开挖的农田地貌恢复工作要加快进度，在农村春播前，均完成地貌恢复，达到复耕交地条件，减少二次进地作业，目前农田地基本已复耕，已交由当地农民使用。</w:t>
            </w:r>
          </w:p>
          <w:p>
            <w:pPr>
              <w:adjustRightInd w:val="0"/>
              <w:snapToGrid w:val="0"/>
              <w:spacing w:line="460" w:lineRule="exact"/>
              <w:ind w:firstLine="480"/>
              <w:rPr>
                <w:bCs/>
                <w:sz w:val="24"/>
              </w:rPr>
            </w:pPr>
            <w:r>
              <w:rPr>
                <w:rFonts w:hint="eastAsia" w:ascii="宋体" w:hAnsi="宋体" w:cs="宋体"/>
                <w:bCs/>
                <w:sz w:val="24"/>
              </w:rPr>
              <w:t>⑧</w:t>
            </w:r>
            <w:r>
              <w:rPr>
                <w:bCs/>
                <w:sz w:val="24"/>
              </w:rPr>
              <w:t>施工结束后及时对站场进行了绿化美化工作，在站场道路两侧种植了常绿行道树，在建筑物四周布设了草坪。</w:t>
            </w:r>
          </w:p>
          <w:p>
            <w:pPr>
              <w:adjustRightInd w:val="0"/>
              <w:snapToGrid w:val="0"/>
              <w:spacing w:line="460" w:lineRule="exact"/>
              <w:ind w:firstLine="480"/>
              <w:rPr>
                <w:bCs/>
                <w:sz w:val="24"/>
              </w:rPr>
            </w:pPr>
            <w:r>
              <w:rPr>
                <w:rFonts w:hint="eastAsia" w:ascii="宋体" w:hAnsi="宋体" w:cs="宋体"/>
                <w:bCs/>
                <w:sz w:val="24"/>
              </w:rPr>
              <w:t>⑨</w:t>
            </w:r>
            <w:r>
              <w:rPr>
                <w:bCs/>
                <w:sz w:val="24"/>
              </w:rPr>
              <w:t>施工结束后及时完成地貌恢复，达到复耕交地条件，减少了二次进地作业，目前占用农田土地基本已复耕。</w:t>
            </w:r>
          </w:p>
          <w:p>
            <w:pPr>
              <w:adjustRightInd w:val="0"/>
              <w:snapToGrid w:val="0"/>
              <w:spacing w:line="460" w:lineRule="exact"/>
              <w:ind w:firstLine="480"/>
              <w:rPr>
                <w:bCs/>
                <w:sz w:val="24"/>
              </w:rPr>
            </w:pPr>
            <w:r>
              <w:rPr>
                <w:bCs/>
                <w:sz w:val="24"/>
              </w:rPr>
              <w:t>现场调查可见，通过采取上述措施，有效地减小了施工期对植被的破坏，也为后期的植被恢复打下了良好的基础。</w:t>
            </w:r>
          </w:p>
          <w:p>
            <w:pPr>
              <w:adjustRightInd w:val="0"/>
              <w:snapToGrid w:val="0"/>
              <w:spacing w:line="460" w:lineRule="exact"/>
              <w:ind w:firstLine="482"/>
              <w:rPr>
                <w:sz w:val="24"/>
              </w:rPr>
            </w:pPr>
            <w:r>
              <w:rPr>
                <w:sz w:val="24"/>
              </w:rPr>
              <w:t>2、植被恢复</w:t>
            </w:r>
            <w:r>
              <w:rPr>
                <w:rFonts w:hint="eastAsia"/>
                <w:sz w:val="24"/>
              </w:rPr>
              <w:t>措施与</w:t>
            </w:r>
            <w:r>
              <w:rPr>
                <w:sz w:val="24"/>
              </w:rPr>
              <w:t>方法的调查</w:t>
            </w:r>
          </w:p>
          <w:p>
            <w:pPr>
              <w:adjustRightInd w:val="0"/>
              <w:snapToGrid w:val="0"/>
              <w:spacing w:line="460" w:lineRule="exact"/>
              <w:ind w:firstLine="482"/>
              <w:rPr>
                <w:sz w:val="24"/>
              </w:rPr>
            </w:pPr>
            <w:r>
              <w:rPr>
                <w:sz w:val="24"/>
              </w:rPr>
              <w:t>本工程施工对原生植被造成了破坏，其植被恢复过程分为自然恢复和人工恢复两种。</w:t>
            </w:r>
          </w:p>
          <w:p>
            <w:pPr>
              <w:adjustRightInd w:val="0"/>
              <w:snapToGrid w:val="0"/>
              <w:spacing w:line="460" w:lineRule="exact"/>
              <w:ind w:firstLine="482"/>
              <w:rPr>
                <w:sz w:val="24"/>
              </w:rPr>
            </w:pPr>
            <w:r>
              <w:rPr>
                <w:rFonts w:hint="eastAsia" w:ascii="宋体" w:hAnsi="宋体" w:cs="宋体"/>
                <w:sz w:val="24"/>
              </w:rPr>
              <w:t>①</w:t>
            </w:r>
            <w:r>
              <w:rPr>
                <w:sz w:val="24"/>
              </w:rPr>
              <w:t>自然恢复</w:t>
            </w:r>
          </w:p>
          <w:p>
            <w:pPr>
              <w:adjustRightInd w:val="0"/>
              <w:snapToGrid w:val="0"/>
              <w:spacing w:line="460" w:lineRule="exact"/>
              <w:ind w:firstLine="482"/>
              <w:rPr>
                <w:sz w:val="24"/>
              </w:rPr>
            </w:pPr>
            <w:r>
              <w:rPr>
                <w:sz w:val="24"/>
              </w:rPr>
              <w:t>对于管道施工作业带、大开挖穿越河流等地段，采用自然恢复方式。由于管道施工作业宽度小，因施工造成的植被破坏呈狭长的带状，而非大面积破坏，有利于自然恢复。施工完毕后先进行土地整治，然后在管沟开挖面上方播撒草籽进行防护，随着时间的推移，植被会逐渐恢复。由于水分条件、阳光等自然条件好，且土壤恢复原状，故被破坏的植被将很快恢复。进行生态恢复后经业主同意交付当地居民恢复利用。现场调查可见，这部分地段恢复良好。</w:t>
            </w:r>
          </w:p>
          <w:p>
            <w:pPr>
              <w:adjustRightInd w:val="0"/>
              <w:snapToGrid w:val="0"/>
              <w:spacing w:line="460" w:lineRule="exact"/>
              <w:ind w:firstLine="482"/>
              <w:rPr>
                <w:sz w:val="24"/>
              </w:rPr>
            </w:pPr>
            <w:r>
              <w:rPr>
                <w:rFonts w:hint="eastAsia"/>
                <w:sz w:val="24"/>
              </w:rPr>
              <w:t>②人工恢复</w:t>
            </w:r>
          </w:p>
          <w:p>
            <w:pPr>
              <w:adjustRightInd w:val="0"/>
              <w:snapToGrid w:val="0"/>
              <w:spacing w:line="460" w:lineRule="exact"/>
              <w:ind w:firstLine="482"/>
              <w:rPr>
                <w:color w:val="FF0000"/>
                <w:sz w:val="24"/>
              </w:rPr>
            </w:pPr>
            <w:r>
              <w:rPr>
                <w:sz w:val="24"/>
              </w:rPr>
              <w:t>对于穿越</w:t>
            </w:r>
            <w:r>
              <w:rPr>
                <w:rFonts w:hint="eastAsia"/>
                <w:sz w:val="24"/>
              </w:rPr>
              <w:t>道路绿化带、施工场地、农田和站场等地段，</w:t>
            </w:r>
            <w:r>
              <w:rPr>
                <w:sz w:val="24"/>
              </w:rPr>
              <w:t>由于其地表覆盖植被为人工</w:t>
            </w:r>
            <w:r>
              <w:rPr>
                <w:rFonts w:hint="eastAsia"/>
                <w:sz w:val="24"/>
              </w:rPr>
              <w:t>栽植的</w:t>
            </w:r>
            <w:r>
              <w:rPr>
                <w:sz w:val="24"/>
              </w:rPr>
              <w:t>植被，</w:t>
            </w:r>
            <w:r>
              <w:rPr>
                <w:rFonts w:hint="eastAsia"/>
                <w:sz w:val="24"/>
              </w:rPr>
              <w:t>采用人工恢复方式。施工完毕后</w:t>
            </w:r>
            <w:r>
              <w:rPr>
                <w:sz w:val="24"/>
              </w:rPr>
              <w:t>先进行土地整治，</w:t>
            </w:r>
            <w:r>
              <w:rPr>
                <w:rFonts w:hint="eastAsia"/>
                <w:sz w:val="24"/>
              </w:rPr>
              <w:t>在进行生态恢复。对于管道施工占用公路两旁绿化带、景观带的区域，根据当地园林绿化部门的要求，建设单位对破坏的植物进行补偿，由绿化部门统一进行生态恢复。站场施工结束后，在站场周围种植常绿树木，在建筑物四周布设草坪，草坪上适当点缀花灌木。</w:t>
            </w:r>
          </w:p>
          <w:p>
            <w:pPr>
              <w:adjustRightInd w:val="0"/>
              <w:snapToGrid w:val="0"/>
              <w:spacing w:line="460" w:lineRule="exact"/>
              <w:ind w:firstLine="482"/>
              <w:rPr>
                <w:sz w:val="24"/>
              </w:rPr>
            </w:pPr>
            <w:r>
              <w:rPr>
                <w:sz w:val="24"/>
              </w:rPr>
              <w:t>现场调查可见，这部分地段基本上已种植了各类农作物，且长势良好</w:t>
            </w:r>
            <w:r>
              <w:rPr>
                <w:rFonts w:hint="eastAsia"/>
                <w:sz w:val="24"/>
              </w:rPr>
              <w:t>。</w:t>
            </w:r>
          </w:p>
          <w:p>
            <w:pPr>
              <w:adjustRightInd w:val="0"/>
              <w:snapToGrid w:val="0"/>
              <w:spacing w:line="460" w:lineRule="exact"/>
              <w:ind w:firstLine="482"/>
              <w:rPr>
                <w:sz w:val="24"/>
              </w:rPr>
            </w:pPr>
            <w:r>
              <w:rPr>
                <w:rFonts w:hint="eastAsia"/>
                <w:sz w:val="24"/>
              </w:rPr>
              <w:t>3、对水生生态环境的影响调查</w:t>
            </w:r>
          </w:p>
          <w:p>
            <w:pPr>
              <w:adjustRightInd w:val="0"/>
              <w:snapToGrid w:val="0"/>
              <w:spacing w:line="460" w:lineRule="exact"/>
              <w:ind w:firstLine="482"/>
              <w:rPr>
                <w:sz w:val="24"/>
              </w:rPr>
            </w:pPr>
            <w:r>
              <w:rPr>
                <w:rFonts w:hint="eastAsia"/>
                <w:sz w:val="24"/>
              </w:rPr>
              <w:t>由于本项目穿越河流均采用大开挖方式施工。施工时避开雨季施工，在施工过程中，施工单位妥善处理施工废物，禁止向河流中排放一切污染物，保证施工不影响河流水质，故没有影响水生生物物种的生存环境。</w:t>
            </w:r>
          </w:p>
          <w:p>
            <w:pPr>
              <w:adjustRightInd w:val="0"/>
              <w:snapToGrid w:val="0"/>
              <w:spacing w:line="460" w:lineRule="exact"/>
              <w:ind w:firstLine="482"/>
              <w:rPr>
                <w:color w:val="FF0000"/>
                <w:sz w:val="24"/>
              </w:rPr>
            </w:pPr>
            <w:r>
              <w:rPr>
                <w:sz w:val="24"/>
              </w:rPr>
              <w:t>管道穿越工程的恢复情况见图7-1至图7-</w:t>
            </w:r>
            <w:r>
              <w:rPr>
                <w:rFonts w:hint="eastAsia"/>
                <w:sz w:val="24"/>
              </w:rPr>
              <w:t>10</w:t>
            </w:r>
            <w:r>
              <w:rPr>
                <w:sz w:val="24"/>
              </w:rPr>
              <w:t>。</w:t>
            </w:r>
          </w:p>
          <w:p>
            <w:pPr>
              <w:adjustRightInd w:val="0"/>
              <w:snapToGrid w:val="0"/>
              <w:spacing w:line="460" w:lineRule="exact"/>
              <w:ind w:firstLine="482"/>
              <w:rPr>
                <w:color w:val="FF0000"/>
                <w:sz w:val="24"/>
              </w:rPr>
            </w:pPr>
            <w:r>
              <w:rPr>
                <w:color w:val="FF0000"/>
                <w:sz w:val="24"/>
              </w:rPr>
              <w:drawing>
                <wp:anchor distT="0" distB="0" distL="114300" distR="114300" simplePos="0" relativeHeight="251682816" behindDoc="0" locked="0" layoutInCell="1" allowOverlap="1">
                  <wp:simplePos x="0" y="0"/>
                  <wp:positionH relativeFrom="column">
                    <wp:posOffset>2802890</wp:posOffset>
                  </wp:positionH>
                  <wp:positionV relativeFrom="paragraph">
                    <wp:posOffset>177165</wp:posOffset>
                  </wp:positionV>
                  <wp:extent cx="2600325" cy="1857375"/>
                  <wp:effectExtent l="19050" t="0" r="9525" b="0"/>
                  <wp:wrapNone/>
                  <wp:docPr id="9" name="图片 7" descr="C:\Users\Administrator\Documents\保德\管线图片\IMG_5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C:\Users\Administrator\Documents\保德\管线图片\IMG_550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600325" cy="1857375"/>
                          </a:xfrm>
                          <a:prstGeom prst="rect">
                            <a:avLst/>
                          </a:prstGeom>
                          <a:noFill/>
                          <a:ln>
                            <a:noFill/>
                          </a:ln>
                        </pic:spPr>
                      </pic:pic>
                    </a:graphicData>
                  </a:graphic>
                </wp:anchor>
              </w:drawing>
            </w:r>
            <w:r>
              <w:rPr>
                <w:color w:val="FF0000"/>
                <w:sz w:val="24"/>
              </w:rPr>
              <w:drawing>
                <wp:anchor distT="0" distB="0" distL="114300" distR="114300" simplePos="0" relativeHeight="251661312" behindDoc="0" locked="0" layoutInCell="1" allowOverlap="1">
                  <wp:simplePos x="0" y="0"/>
                  <wp:positionH relativeFrom="column">
                    <wp:posOffset>164465</wp:posOffset>
                  </wp:positionH>
                  <wp:positionV relativeFrom="paragraph">
                    <wp:posOffset>177165</wp:posOffset>
                  </wp:positionV>
                  <wp:extent cx="2515870" cy="1857375"/>
                  <wp:effectExtent l="19050" t="0" r="0" b="0"/>
                  <wp:wrapNone/>
                  <wp:docPr id="8" name="图片 1" descr="C:\Users\Administrator\Documents\保德\管线图片\IMG_5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Users\Administrator\Documents\保德\管线图片\IMG_5492.JPG"/>
                          <pic:cNvPicPr>
                            <a:picLocks noChangeAspect="1" noChangeArrowheads="1"/>
                          </pic:cNvPicPr>
                        </pic:nvPicPr>
                        <pic:blipFill>
                          <a:blip r:embed="rId22" cstate="print">
                            <a:extLst>
                              <a:ext uri="{28A0092B-C50C-407E-A947-70E740481C1C}">
                                <a14:useLocalDpi xmlns:a14="http://schemas.microsoft.com/office/drawing/2010/main" val="0"/>
                              </a:ext>
                            </a:extLst>
                          </a:blip>
                          <a:srcRect r="1119" b="18684"/>
                          <a:stretch>
                            <a:fillRect/>
                          </a:stretch>
                        </pic:blipFill>
                        <pic:spPr>
                          <a:xfrm>
                            <a:off x="0" y="0"/>
                            <a:ext cx="2515870" cy="1857375"/>
                          </a:xfrm>
                          <a:prstGeom prst="rect">
                            <a:avLst/>
                          </a:prstGeom>
                          <a:noFill/>
                          <a:ln>
                            <a:noFill/>
                          </a:ln>
                        </pic:spPr>
                      </pic:pic>
                    </a:graphicData>
                  </a:graphic>
                </wp:anchor>
              </w:drawing>
            </w:r>
          </w:p>
          <w:p>
            <w:pPr>
              <w:adjustRightInd w:val="0"/>
              <w:snapToGrid w:val="0"/>
              <w:spacing w:line="460" w:lineRule="exact"/>
              <w:ind w:firstLine="482"/>
              <w:rPr>
                <w:color w:val="FF0000"/>
                <w:sz w:val="24"/>
              </w:rPr>
            </w:pPr>
            <w:r>
              <w:rPr>
                <w:bCs/>
                <w:color w:val="FF0000"/>
                <w:sz w:val="24"/>
              </w:rPr>
              <mc:AlternateContent>
                <mc:Choice Requires="wps">
                  <w:drawing>
                    <wp:anchor distT="0" distB="0" distL="114300" distR="114300" simplePos="0" relativeHeight="251683840" behindDoc="0" locked="0" layoutInCell="1" allowOverlap="1">
                      <wp:simplePos x="0" y="0"/>
                      <wp:positionH relativeFrom="column">
                        <wp:posOffset>3488690</wp:posOffset>
                      </wp:positionH>
                      <wp:positionV relativeFrom="paragraph">
                        <wp:posOffset>167640</wp:posOffset>
                      </wp:positionV>
                      <wp:extent cx="1866900" cy="889000"/>
                      <wp:effectExtent l="6350" t="12700" r="12700" b="31750"/>
                      <wp:wrapNone/>
                      <wp:docPr id="38" name="直接连接符 3"/>
                      <wp:cNvGraphicFramePr/>
                      <a:graphic xmlns:a="http://schemas.openxmlformats.org/drawingml/2006/main">
                        <a:graphicData uri="http://schemas.microsoft.com/office/word/2010/wordprocessingShape">
                          <wps:wsp>
                            <wps:cNvCnPr/>
                            <wps:spPr>
                              <a:xfrm flipH="1" flipV="1">
                                <a:off x="0" y="0"/>
                                <a:ext cx="190500" cy="951230"/>
                              </a:xfrm>
                              <a:prstGeom prst="line">
                                <a:avLst/>
                              </a:prstGeom>
                              <a:ln w="28575">
                                <a:solidFill>
                                  <a:srgbClr val="FF0000"/>
                                </a:solidFill>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3" o:spid="_x0000_s1026" o:spt="20" style="position:absolute;left:0pt;flip:x y;margin-left:274.7pt;margin-top:13.2pt;height:70pt;width:147pt;z-index:251683840;mso-width-relative:margin;mso-height-relative:margin;" filled="f" stroked="t" coordsize="21600,21600" o:gfxdata="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hbPGPYAAAACgEAAA8AAAAAAAAAAQAgAAAAIgAAAGRycy9kb3du&#10;cmV2LnhtbFBLAQIUABQAAAAIAIdO4kAy0wRe/wEAANkDAAAOAAAAAAAAAAEAIAAAACcBAABkcnMv&#10;ZTJvRG9jLnhtbFBLBQYAAAAABgAGAFkBAACYBQAAAAA=&#10;">
                      <v:fill on="f" focussize="0,0"/>
                      <v:stroke weight="2.25pt" color="#FF0000 [3204]" miterlimit="8" joinstyle="miter"/>
                      <v:imagedata o:title=""/>
                      <o:lock v:ext="edit" aspectratio="f"/>
                    </v:line>
                  </w:pict>
                </mc:Fallback>
              </mc:AlternateContent>
            </w:r>
          </w:p>
          <w:p>
            <w:pPr>
              <w:adjustRightInd w:val="0"/>
              <w:snapToGrid w:val="0"/>
              <w:spacing w:line="460" w:lineRule="exact"/>
              <w:ind w:firstLine="482"/>
              <w:rPr>
                <w:color w:val="FF0000"/>
                <w:sz w:val="24"/>
              </w:rPr>
            </w:pPr>
          </w:p>
          <w:p>
            <w:pPr>
              <w:adjustRightInd w:val="0"/>
              <w:snapToGrid w:val="0"/>
              <w:spacing w:line="460" w:lineRule="exact"/>
              <w:ind w:firstLine="482"/>
              <w:rPr>
                <w:color w:val="FF0000"/>
                <w:sz w:val="24"/>
              </w:rPr>
            </w:pPr>
            <w:r>
              <w:rPr>
                <w:bCs/>
                <w:color w:val="FF0000"/>
                <w:sz w:val="24"/>
              </w:rPr>
              <mc:AlternateContent>
                <mc:Choice Requires="wpg">
                  <w:drawing>
                    <wp:anchor distT="0" distB="0" distL="114300" distR="114300" simplePos="0" relativeHeight="251681792" behindDoc="0" locked="0" layoutInCell="1" allowOverlap="1">
                      <wp:simplePos x="0" y="0"/>
                      <wp:positionH relativeFrom="column">
                        <wp:posOffset>725805</wp:posOffset>
                      </wp:positionH>
                      <wp:positionV relativeFrom="paragraph">
                        <wp:posOffset>52070</wp:posOffset>
                      </wp:positionV>
                      <wp:extent cx="1362710" cy="420370"/>
                      <wp:effectExtent l="8255" t="12700" r="19685" b="24130"/>
                      <wp:wrapNone/>
                      <wp:docPr id="36" name="组合 132"/>
                      <wp:cNvGraphicFramePr/>
                      <a:graphic xmlns:a="http://schemas.openxmlformats.org/drawingml/2006/main">
                        <a:graphicData uri="http://schemas.microsoft.com/office/word/2010/wordprocessingGroup">
                          <wpg:wgp>
                            <wpg:cNvGrpSpPr/>
                            <wpg:grpSpPr>
                              <a:xfrm>
                                <a:off x="0" y="0"/>
                                <a:ext cx="1362710" cy="420370"/>
                                <a:chOff x="2790" y="3299"/>
                                <a:chExt cx="2220" cy="721"/>
                              </a:xfrm>
                            </wpg:grpSpPr>
                            <wps:wsp>
                              <wps:cNvPr id="32" name="直接连接符 211"/>
                              <wps:cNvSpPr/>
                              <wps:spPr>
                                <a:xfrm flipH="1" flipV="1">
                                  <a:off x="2790" y="3299"/>
                                  <a:ext cx="990" cy="721"/>
                                </a:xfrm>
                                <a:prstGeom prst="line">
                                  <a:avLst/>
                                </a:prstGeom>
                                <a:ln w="28575" cap="flat" cmpd="sng">
                                  <a:solidFill>
                                    <a:srgbClr val="FF0000"/>
                                  </a:solidFill>
                                  <a:prstDash val="solid"/>
                                  <a:miter/>
                                  <a:headEnd type="none" w="med" len="med"/>
                                  <a:tailEnd type="none" w="med" len="med"/>
                                </a:ln>
                              </wps:spPr>
                              <wps:bodyPr upright="1"/>
                            </wps:wsp>
                            <wps:wsp>
                              <wps:cNvPr id="33" name="直接连接符 210"/>
                              <wps:cNvSpPr/>
                              <wps:spPr>
                                <a:xfrm flipV="1">
                                  <a:off x="3780" y="3299"/>
                                  <a:ext cx="1230" cy="721"/>
                                </a:xfrm>
                                <a:prstGeom prst="line">
                                  <a:avLst/>
                                </a:prstGeom>
                                <a:ln w="28575" cap="flat" cmpd="sng">
                                  <a:solidFill>
                                    <a:srgbClr val="FF0000"/>
                                  </a:solidFill>
                                  <a:prstDash val="solid"/>
                                  <a:headEnd type="none" w="med" len="med"/>
                                  <a:tailEnd type="none" w="med" len="med"/>
                                </a:ln>
                              </wps:spPr>
                              <wps:bodyPr upright="1"/>
                            </wps:wsp>
                          </wpg:wgp>
                        </a:graphicData>
                      </a:graphic>
                    </wp:anchor>
                  </w:drawing>
                </mc:Choice>
                <mc:Fallback>
                  <w:pict>
                    <v:group id="组合 132" o:spid="_x0000_s1026" o:spt="203" style="position:absolute;left:0pt;margin-left:57.15pt;margin-top:4.1pt;height:33.1pt;width:107.3pt;z-index:251681792;mso-width-relative:page;mso-height-relative:page;" coordorigin="2790,3299" coordsize="2220,721" o:gfxdata="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kJ1ql9gAAAAIAQAADwAAAAAAAAABACAAAAAiAAAAZHJzL2Rvd25yZXYueG1s&#10;UEsBAhQAFAAAAAgAh07iQPmPWKmjAgAAVQcAAA4AAAAAAAAAAQAgAAAAJwEAAGRycy9lMm9Eb2Mu&#10;eG1sUEsFBgAAAAAGAAYAWQEAADwGAAAAAA==&#10;">
                      <o:lock v:ext="edit" aspectratio="f"/>
                      <v:line id="直接连接符 211" o:spid="_x0000_s1026" o:spt="20" style="position:absolute;left:2790;top:3299;flip:x y;height:721;width:990;"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">
                        <v:fill on="f" focussize="0,0"/>
                        <v:stroke weight="2.25pt" color="#FF0000" joinstyle="miter"/>
                        <v:imagedata o:title=""/>
                        <o:lock v:ext="edit" aspectratio="f"/>
                      </v:line>
                      <v:line id="直接连接符 210" o:spid="_x0000_s1026" o:spt="20" style="position:absolute;left:3780;top:3299;flip:y;height:721;width:1230;"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">
                        <v:fill on="f" focussize="0,0"/>
                        <v:stroke weight="2.25pt" color="#FF0000" joinstyle="round"/>
                        <v:imagedata o:title=""/>
                        <o:lock v:ext="edit" aspectratio="f"/>
                      </v:line>
                    </v:group>
                  </w:pict>
                </mc:Fallback>
              </mc:AlternateContent>
            </w:r>
          </w:p>
          <w:p>
            <w:pPr>
              <w:adjustRightInd w:val="0"/>
              <w:snapToGrid w:val="0"/>
              <w:spacing w:line="460" w:lineRule="exact"/>
              <w:ind w:firstLine="482"/>
              <w:rPr>
                <w:color w:val="FF0000"/>
                <w:sz w:val="24"/>
              </w:rPr>
            </w:pPr>
          </w:p>
          <w:p>
            <w:pPr>
              <w:adjustRightInd w:val="0"/>
              <w:snapToGrid w:val="0"/>
              <w:spacing w:line="460" w:lineRule="exact"/>
              <w:ind w:firstLine="482"/>
              <w:rPr>
                <w:color w:val="FF0000"/>
                <w:sz w:val="24"/>
              </w:rPr>
            </w:pPr>
          </w:p>
          <w:p>
            <w:pPr>
              <w:adjustRightInd w:val="0"/>
              <w:snapToGrid w:val="0"/>
              <w:spacing w:line="460" w:lineRule="exact"/>
              <w:ind w:firstLine="482"/>
              <w:rPr>
                <w:color w:val="FF0000"/>
                <w:sz w:val="24"/>
              </w:rPr>
            </w:pPr>
            <w:r>
              <w:rPr>
                <w:rFonts w:hint="eastAsia"/>
                <w:color w:val="FF0000"/>
                <w:sz w:val="24"/>
              </w:rPr>
              <w:t xml:space="preserve">                                 </w:t>
            </w:r>
          </w:p>
          <w:p>
            <w:pPr>
              <w:adjustRightInd w:val="0"/>
              <w:snapToGrid w:val="0"/>
              <w:spacing w:line="460" w:lineRule="exact"/>
              <w:ind w:firstLine="482"/>
              <w:rPr>
                <w:color w:val="FF0000"/>
                <w:sz w:val="24"/>
              </w:rPr>
            </w:pPr>
            <w:r>
              <w:rPr>
                <w:bCs/>
                <w:color w:val="FF0000"/>
                <w:sz w:val="24"/>
                <w:szCs w:val="26"/>
              </w:rPr>
              <mc:AlternateContent>
                <mc:Choice Requires="wps">
                  <w:drawing>
                    <wp:anchor distT="0" distB="0" distL="114300" distR="114300" simplePos="0" relativeHeight="251670528" behindDoc="0" locked="0" layoutInCell="1" allowOverlap="1">
                      <wp:simplePos x="0" y="0"/>
                      <wp:positionH relativeFrom="column">
                        <wp:posOffset>2747010</wp:posOffset>
                      </wp:positionH>
                      <wp:positionV relativeFrom="paragraph">
                        <wp:posOffset>56515</wp:posOffset>
                      </wp:positionV>
                      <wp:extent cx="2735580" cy="285750"/>
                      <wp:effectExtent l="0" t="0" r="0" b="0"/>
                      <wp:wrapNone/>
                      <wp:docPr id="129" name="Text Box 46"/>
                      <wp:cNvGraphicFramePr/>
                      <a:graphic xmlns:a="http://schemas.openxmlformats.org/drawingml/2006/main">
                        <a:graphicData uri="http://schemas.microsoft.com/office/word/2010/wordprocessingShape">
                          <wps:wsp>
                            <wps:cNvSpPr txBox="1">
                              <a:spLocks noChangeArrowheads="1"/>
                            </wps:cNvSpPr>
                            <wps:spPr bwMode="auto">
                              <a:xfrm>
                                <a:off x="0" y="0"/>
                                <a:ext cx="2735580" cy="285750"/>
                              </a:xfrm>
                              <a:prstGeom prst="rect">
                                <a:avLst/>
                              </a:prstGeom>
                              <a:noFill/>
                              <a:ln>
                                <a:noFill/>
                              </a:ln>
                              <a:effectLst/>
                            </wps:spPr>
                            <wps:txbx>
                              <w:txbxContent>
                                <w:p>
                                  <w:pPr>
                                    <w:jc w:val="center"/>
                                    <w:rPr>
                                      <w:b/>
                                    </w:rPr>
                                  </w:pPr>
                                  <w:r>
                                    <w:rPr>
                                      <w:rFonts w:hint="eastAsia"/>
                                      <w:b/>
                                    </w:rPr>
                                    <w:t>图7-</w:t>
                                  </w:r>
                                  <w:r>
                                    <w:rPr>
                                      <w:b/>
                                    </w:rPr>
                                    <w:t>2</w:t>
                                  </w:r>
                                  <w:r>
                                    <w:rPr>
                                      <w:rFonts w:hint="eastAsia"/>
                                      <w:b/>
                                    </w:rPr>
                                    <w:t>管道穿越耕地恢复情况</w:t>
                                  </w:r>
                                </w:p>
                              </w:txbxContent>
                            </wps:txbx>
                            <wps:bodyPr rot="0" vert="horz" wrap="square" lIns="91440" tIns="45720" rIns="91440" bIns="45720" anchor="t" anchorCtr="0" upright="1">
                              <a:noAutofit/>
                            </wps:bodyPr>
                          </wps:wsp>
                        </a:graphicData>
                      </a:graphic>
                    </wp:anchor>
                  </w:drawing>
                </mc:Choice>
                <mc:Fallback>
                  <w:pict>
                    <v:shape id="Text Box 46" o:spid="_x0000_s1026" o:spt="202" type="#_x0000_t202" style="position:absolute;left:0pt;margin-left:216.3pt;margin-top:4.45pt;height:22.5pt;width:215.4pt;z-index:251670528;mso-width-relative:page;mso-height-relative:page;" filled="f" stroked="f" coordsize="21600,21600" o:gfxdata="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Qig81gAAAAgBAAAPAAAAAAAAAAEAIAAA&#10;ACIAAABkcnMvZG93bnJldi54bWxQSwECFAAUAAAACACHTuJAqx9gzg4CAAAlBAAADgAAAAAAAAAB&#10;ACAAAAAlAQAAZHJzL2Uyb0RvYy54bWxQSwUGAAAAAAYABgBZAQAApQUAAAAA&#10;">
                      <v:fill on="f" focussize="0,0"/>
                      <v:stroke on="f"/>
                      <v:imagedata o:title=""/>
                      <o:lock v:ext="edit" aspectratio="f"/>
                      <v:textbox>
                        <w:txbxContent>
                          <w:p>
                            <w:pPr>
                              <w:jc w:val="center"/>
                              <w:rPr>
                                <w:b/>
                              </w:rPr>
                            </w:pPr>
                            <w:r>
                              <w:rPr>
                                <w:rFonts w:hint="eastAsia"/>
                                <w:b/>
                              </w:rPr>
                              <w:t>图7-</w:t>
                            </w:r>
                            <w:r>
                              <w:rPr>
                                <w:b/>
                              </w:rPr>
                              <w:t>2</w:t>
                            </w:r>
                            <w:r>
                              <w:rPr>
                                <w:rFonts w:hint="eastAsia"/>
                                <w:b/>
                              </w:rPr>
                              <w:t>管道穿越耕地恢复情况</w:t>
                            </w:r>
                          </w:p>
                        </w:txbxContent>
                      </v:textbox>
                    </v:shape>
                  </w:pict>
                </mc:Fallback>
              </mc:AlternateContent>
            </w:r>
            <w:r>
              <w:rPr>
                <w:bCs/>
                <w:color w:val="FF0000"/>
                <w:sz w:val="24"/>
              </w:rPr>
              <mc:AlternateContent>
                <mc:Choice Requires="wps">
                  <w:drawing>
                    <wp:anchor distT="0" distB="0" distL="114300" distR="114300" simplePos="0" relativeHeight="251673600" behindDoc="0" locked="0" layoutInCell="1" allowOverlap="1">
                      <wp:simplePos x="0" y="0"/>
                      <wp:positionH relativeFrom="column">
                        <wp:posOffset>276225</wp:posOffset>
                      </wp:positionH>
                      <wp:positionV relativeFrom="paragraph">
                        <wp:posOffset>56515</wp:posOffset>
                      </wp:positionV>
                      <wp:extent cx="2257425" cy="285750"/>
                      <wp:effectExtent l="0" t="0" r="9525" b="0"/>
                      <wp:wrapNone/>
                      <wp:docPr id="21" name="Text Box 13"/>
                      <wp:cNvGraphicFramePr/>
                      <a:graphic xmlns:a="http://schemas.openxmlformats.org/drawingml/2006/main">
                        <a:graphicData uri="http://schemas.microsoft.com/office/word/2010/wordprocessingShape">
                          <wps:wsp>
                            <wps:cNvSpPr txBox="1">
                              <a:spLocks noChangeArrowheads="1"/>
                            </wps:cNvSpPr>
                            <wps:spPr bwMode="auto">
                              <a:xfrm>
                                <a:off x="0" y="0"/>
                                <a:ext cx="2257425" cy="285750"/>
                              </a:xfrm>
                              <a:prstGeom prst="rect">
                                <a:avLst/>
                              </a:prstGeom>
                              <a:solidFill>
                                <a:srgbClr val="FFFFFF"/>
                              </a:solidFill>
                              <a:ln>
                                <a:noFill/>
                              </a:ln>
                              <a:effectLst/>
                            </wps:spPr>
                            <wps:txbx>
                              <w:txbxContent>
                                <w:p>
                                  <w:pPr>
                                    <w:jc w:val="center"/>
                                    <w:rPr>
                                      <w:b/>
                                    </w:rPr>
                                  </w:pPr>
                                  <w:r>
                                    <w:rPr>
                                      <w:rFonts w:hint="eastAsia"/>
                                      <w:b/>
                                    </w:rPr>
                                    <w:t>图7-1 管道穿越冲沟恢复情况</w:t>
                                  </w:r>
                                </w:p>
                              </w:txbxContent>
                            </wps:txbx>
                            <wps:bodyPr rot="0" vert="horz" wrap="square" lIns="91440" tIns="45720" rIns="91440" bIns="45720" anchor="t" anchorCtr="0" upright="1">
                              <a:noAutofit/>
                            </wps:bodyPr>
                          </wps:wsp>
                        </a:graphicData>
                      </a:graphic>
                    </wp:anchor>
                  </w:drawing>
                </mc:Choice>
                <mc:Fallback>
                  <w:pict>
                    <v:shape id="Text Box 13" o:spid="_x0000_s1026" o:spt="202" type="#_x0000_t202" style="position:absolute;left:0pt;margin-left:21.75pt;margin-top:4.45pt;height:22.5pt;width:177.75pt;z-index:251673600;mso-width-relative:page;mso-height-relative:page;" fillcolor="#FFFFFF" filled="t" stroked="f" coordsize="21600,21600" o:gfxdata="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OD6HPjW&#10;AAAABwEAAA8AAAAAAAAAAQAgAAAAIgAAAGRycy9kb3ducmV2LnhtbFBLAQIUABQAAAAIAIdO4kCn&#10;gE31IgIAAE0EAAAOAAAAAAAAAAEAIAAAACUBAABkcnMvZTJvRG9jLnhtbFBLBQYAAAAABgAGAFkB&#10;AAC5BQAAAAA=&#10;">
                      <v:fill on="t" focussize="0,0"/>
                      <v:stroke on="f"/>
                      <v:imagedata o:title=""/>
                      <o:lock v:ext="edit" aspectratio="f"/>
                      <v:textbox>
                        <w:txbxContent>
                          <w:p>
                            <w:pPr>
                              <w:jc w:val="center"/>
                              <w:rPr>
                                <w:b/>
                              </w:rPr>
                            </w:pPr>
                            <w:r>
                              <w:rPr>
                                <w:rFonts w:hint="eastAsia"/>
                                <w:b/>
                              </w:rPr>
                              <w:t>图7-1 管道穿越冲沟恢复情况</w:t>
                            </w:r>
                          </w:p>
                        </w:txbxContent>
                      </v:textbox>
                    </v:shape>
                  </w:pict>
                </mc:Fallback>
              </mc:AlternateContent>
            </w:r>
          </w:p>
          <w:p>
            <w:pPr>
              <w:adjustRightInd w:val="0"/>
              <w:snapToGrid w:val="0"/>
              <w:spacing w:line="460" w:lineRule="exact"/>
              <w:rPr>
                <w:color w:val="FF0000"/>
                <w:sz w:val="24"/>
              </w:rPr>
            </w:pPr>
          </w:p>
          <w:p>
            <w:pPr>
              <w:adjustRightInd w:val="0"/>
              <w:snapToGrid w:val="0"/>
              <w:spacing w:line="460" w:lineRule="exact"/>
              <w:ind w:firstLine="482"/>
              <w:rPr>
                <w:bCs/>
                <w:color w:val="FF0000"/>
                <w:sz w:val="24"/>
              </w:rPr>
            </w:pPr>
            <w:r>
              <w:rPr>
                <w:bCs/>
                <w:color w:val="FF0000"/>
                <w:sz w:val="24"/>
              </w:rPr>
              <w:drawing>
                <wp:anchor distT="0" distB="0" distL="114300" distR="114300" simplePos="0" relativeHeight="251686912" behindDoc="0" locked="0" layoutInCell="1" allowOverlap="1">
                  <wp:simplePos x="0" y="0"/>
                  <wp:positionH relativeFrom="column">
                    <wp:posOffset>2802890</wp:posOffset>
                  </wp:positionH>
                  <wp:positionV relativeFrom="paragraph">
                    <wp:posOffset>132715</wp:posOffset>
                  </wp:positionV>
                  <wp:extent cx="2590800" cy="1943100"/>
                  <wp:effectExtent l="19050" t="0" r="0" b="0"/>
                  <wp:wrapNone/>
                  <wp:docPr id="24" name="图片 24" descr="C:\Users\Administrator\Documents\保德\管线图片\IMG_5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Users\Administrator\Documents\保德\管线图片\IMG_552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590800" cy="1943100"/>
                          </a:xfrm>
                          <a:prstGeom prst="rect">
                            <a:avLst/>
                          </a:prstGeom>
                          <a:noFill/>
                          <a:ln>
                            <a:noFill/>
                          </a:ln>
                        </pic:spPr>
                      </pic:pic>
                    </a:graphicData>
                  </a:graphic>
                </wp:anchor>
              </w:drawing>
            </w:r>
            <w:r>
              <w:rPr>
                <w:bCs/>
                <w:color w:val="FF0000"/>
                <w:sz w:val="24"/>
              </w:rPr>
              <w:drawing>
                <wp:anchor distT="0" distB="0" distL="114300" distR="114300" simplePos="0" relativeHeight="251684864" behindDoc="0" locked="0" layoutInCell="1" allowOverlap="1">
                  <wp:simplePos x="0" y="0"/>
                  <wp:positionH relativeFrom="column">
                    <wp:posOffset>154940</wp:posOffset>
                  </wp:positionH>
                  <wp:positionV relativeFrom="paragraph">
                    <wp:posOffset>132715</wp:posOffset>
                  </wp:positionV>
                  <wp:extent cx="2533650" cy="1943100"/>
                  <wp:effectExtent l="19050" t="0" r="0" b="0"/>
                  <wp:wrapNone/>
                  <wp:docPr id="13" name="图片 13" descr="C:\Users\Administrator\Documents\保德\管线图片\IMG_5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Administrator\Documents\保德\管线图片\IMG_551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2533650" cy="1943100"/>
                          </a:xfrm>
                          <a:prstGeom prst="rect">
                            <a:avLst/>
                          </a:prstGeom>
                          <a:noFill/>
                          <a:ln>
                            <a:noFill/>
                          </a:ln>
                        </pic:spPr>
                      </pic:pic>
                    </a:graphicData>
                  </a:graphic>
                </wp:anchor>
              </w:drawing>
            </w:r>
          </w:p>
          <w:p>
            <w:pPr>
              <w:pStyle w:val="43"/>
              <w:adjustRightInd w:val="0"/>
              <w:snapToGrid w:val="0"/>
              <w:spacing w:line="460" w:lineRule="exact"/>
              <w:ind w:firstLine="0" w:firstLineChars="0"/>
              <w:rPr>
                <w:bCs w:val="0"/>
                <w:color w:val="FF0000"/>
                <w:sz w:val="24"/>
                <w:szCs w:val="24"/>
              </w:rPr>
            </w:pPr>
            <w:r>
              <w:rPr>
                <w:rFonts w:hint="eastAsia"/>
                <w:bCs w:val="0"/>
                <w:color w:val="FF0000"/>
                <w:sz w:val="24"/>
                <w:szCs w:val="24"/>
              </w:rPr>
              <w:t xml:space="preserve"> </w:t>
            </w:r>
          </w:p>
          <w:p>
            <w:pPr>
              <w:pStyle w:val="43"/>
              <w:adjustRightInd w:val="0"/>
              <w:snapToGrid w:val="0"/>
              <w:spacing w:line="460" w:lineRule="exact"/>
              <w:ind w:firstLine="480" w:firstLineChars="0"/>
              <w:jc w:val="center"/>
              <w:rPr>
                <w:bCs w:val="0"/>
                <w:color w:val="FF0000"/>
                <w:sz w:val="24"/>
                <w:szCs w:val="24"/>
              </w:rPr>
            </w:pPr>
            <w:r>
              <w:rPr>
                <w:bCs w:val="0"/>
                <w:color w:val="FF0000"/>
                <w:sz w:val="24"/>
                <w:szCs w:val="24"/>
              </w:rPr>
              <mc:AlternateContent>
                <mc:Choice Requires="wps">
                  <w:drawing>
                    <wp:anchor distT="0" distB="0" distL="114300" distR="114300" simplePos="0" relativeHeight="251687936" behindDoc="0" locked="0" layoutInCell="1" allowOverlap="1">
                      <wp:simplePos x="0" y="0"/>
                      <wp:positionH relativeFrom="column">
                        <wp:posOffset>3098165</wp:posOffset>
                      </wp:positionH>
                      <wp:positionV relativeFrom="paragraph">
                        <wp:posOffset>11430</wp:posOffset>
                      </wp:positionV>
                      <wp:extent cx="2286000" cy="861060"/>
                      <wp:effectExtent l="5080" t="13335" r="13970" b="20955"/>
                      <wp:wrapNone/>
                      <wp:docPr id="40" name="直接连接符 5"/>
                      <wp:cNvGraphicFramePr/>
                      <a:graphic xmlns:a="http://schemas.openxmlformats.org/drawingml/2006/main">
                        <a:graphicData uri="http://schemas.microsoft.com/office/word/2010/wordprocessingShape">
                          <wps:wsp>
                            <wps:cNvCnPr/>
                            <wps:spPr>
                              <a:xfrm flipH="1" flipV="1">
                                <a:off x="0" y="0"/>
                                <a:ext cx="1459230" cy="638175"/>
                              </a:xfrm>
                              <a:prstGeom prst="line">
                                <a:avLst/>
                              </a:prstGeom>
                              <a:ln w="28575">
                                <a:solidFill>
                                  <a:srgbClr val="FF0000"/>
                                </a:solidFill>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5" o:spid="_x0000_s1026" o:spt="20" style="position:absolute;left:0pt;flip:x y;margin-left:243.95pt;margin-top:0.9pt;height:67.8pt;width:180pt;z-index:251687936;mso-width-relative:margin;mso-height-relative:margin;" filled="f" stroked="t" coordsize="21600,21600" o:gfxdata="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zQrXt1QAAAAkBAAAPAAAAAAAAAAEAIAAAACIAAABkcnMvZG93bnJl&#10;di54bWxQSwECFAAUAAAACACHTuJA4JV1fAACAADaAwAADgAAAAAAAAABACAAAAAkAQAAZHJzL2Uy&#10;b0RvYy54bWxQSwUGAAAAAAYABgBZAQAAlgUAAAAA&#10;">
                      <v:fill on="f" focussize="0,0"/>
                      <v:stroke weight="2.25pt" color="#FF0000 [3204]" miterlimit="8" joinstyle="miter"/>
                      <v:imagedata o:title=""/>
                      <o:lock v:ext="edit" aspectratio="f"/>
                    </v:line>
                  </w:pict>
                </mc:Fallback>
              </mc:AlternateContent>
            </w:r>
          </w:p>
          <w:p>
            <w:pPr>
              <w:pStyle w:val="43"/>
              <w:adjustRightInd w:val="0"/>
              <w:snapToGrid w:val="0"/>
              <w:spacing w:line="460" w:lineRule="exact"/>
              <w:ind w:firstLine="480" w:firstLineChars="0"/>
              <w:rPr>
                <w:bCs w:val="0"/>
                <w:color w:val="FF0000"/>
                <w:sz w:val="24"/>
                <w:szCs w:val="24"/>
              </w:rPr>
            </w:pPr>
            <w:r>
              <w:rPr>
                <w:bCs w:val="0"/>
                <w:color w:val="FF0000"/>
                <w:sz w:val="24"/>
                <w:szCs w:val="24"/>
              </w:rPr>
              <mc:AlternateContent>
                <mc:Choice Requires="wps">
                  <w:drawing>
                    <wp:anchor distT="0" distB="0" distL="114300" distR="114300" simplePos="0" relativeHeight="251685888" behindDoc="0" locked="0" layoutInCell="1" allowOverlap="1">
                      <wp:simplePos x="0" y="0"/>
                      <wp:positionH relativeFrom="column">
                        <wp:posOffset>440690</wp:posOffset>
                      </wp:positionH>
                      <wp:positionV relativeFrom="paragraph">
                        <wp:posOffset>81915</wp:posOffset>
                      </wp:positionV>
                      <wp:extent cx="2239645" cy="603250"/>
                      <wp:effectExtent l="3810" t="13970" r="4445" b="30480"/>
                      <wp:wrapNone/>
                      <wp:docPr id="39" name="直接连接符 4"/>
                      <wp:cNvGraphicFramePr/>
                      <a:graphic xmlns:a="http://schemas.openxmlformats.org/drawingml/2006/main">
                        <a:graphicData uri="http://schemas.microsoft.com/office/word/2010/wordprocessingShape">
                          <wps:wsp>
                            <wps:cNvSpPr/>
                            <wps:spPr>
                              <a:xfrm flipH="1" flipV="1">
                                <a:off x="0" y="0"/>
                                <a:ext cx="2239645" cy="603250"/>
                              </a:xfrm>
                              <a:prstGeom prst="line">
                                <a:avLst/>
                              </a:prstGeom>
                              <a:ln w="28575" cap="flat" cmpd="sng">
                                <a:solidFill>
                                  <a:srgbClr val="FF0000"/>
                                </a:solidFill>
                                <a:prstDash val="solid"/>
                                <a:miter/>
                                <a:headEnd type="none" w="med" len="med"/>
                                <a:tailEnd type="none" w="med" len="med"/>
                              </a:ln>
                            </wps:spPr>
                            <wps:bodyPr upright="1"/>
                          </wps:wsp>
                        </a:graphicData>
                      </a:graphic>
                    </wp:anchor>
                  </w:drawing>
                </mc:Choice>
                <mc:Fallback>
                  <w:pict>
                    <v:line id="直接连接符 4" o:spid="_x0000_s1026" o:spt="20" style="position:absolute;left:0pt;flip:x y;margin-left:34.7pt;margin-top:6.45pt;height:47.5pt;width:176.35pt;z-index:251685888;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">
                      <v:fill on="f" focussize="0,0"/>
                      <v:stroke weight="2.25pt" color="#FF0000" joinstyle="miter"/>
                      <v:imagedata o:title=""/>
                      <o:lock v:ext="edit" aspectratio="f"/>
                    </v:line>
                  </w:pict>
                </mc:Fallback>
              </mc:AlternateContent>
            </w:r>
          </w:p>
          <w:p>
            <w:pPr>
              <w:pStyle w:val="43"/>
              <w:adjustRightInd w:val="0"/>
              <w:snapToGrid w:val="0"/>
              <w:spacing w:line="460" w:lineRule="exact"/>
              <w:ind w:firstLine="480" w:firstLineChars="0"/>
              <w:rPr>
                <w:bCs w:val="0"/>
                <w:color w:val="FF0000"/>
                <w:sz w:val="24"/>
                <w:szCs w:val="24"/>
              </w:rPr>
            </w:pPr>
            <w:r>
              <w:rPr>
                <w:rFonts w:hint="eastAsia"/>
                <w:bCs w:val="0"/>
                <w:color w:val="FF0000"/>
                <w:sz w:val="24"/>
                <w:szCs w:val="24"/>
              </w:rPr>
              <w:t xml:space="preserve">                                </w:t>
            </w: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r>
              <w:rPr>
                <w:color w:val="FF0000"/>
                <w:sz w:val="24"/>
              </w:rPr>
              <mc:AlternateContent>
                <mc:Choice Requires="wps">
                  <w:drawing>
                    <wp:anchor distT="0" distB="0" distL="114300" distR="114300" simplePos="0" relativeHeight="251662336" behindDoc="0" locked="0" layoutInCell="1" allowOverlap="1">
                      <wp:simplePos x="0" y="0"/>
                      <wp:positionH relativeFrom="column">
                        <wp:posOffset>222885</wp:posOffset>
                      </wp:positionH>
                      <wp:positionV relativeFrom="paragraph">
                        <wp:posOffset>2540</wp:posOffset>
                      </wp:positionV>
                      <wp:extent cx="2457450" cy="285750"/>
                      <wp:effectExtent l="0" t="0" r="0" b="0"/>
                      <wp:wrapNone/>
                      <wp:docPr id="22" name="Text Box 14"/>
                      <wp:cNvGraphicFramePr/>
                      <a:graphic xmlns:a="http://schemas.openxmlformats.org/drawingml/2006/main">
                        <a:graphicData uri="http://schemas.microsoft.com/office/word/2010/wordprocessingShape">
                          <wps:wsp>
                            <wps:cNvSpPr txBox="1">
                              <a:spLocks noChangeArrowheads="1"/>
                            </wps:cNvSpPr>
                            <wps:spPr bwMode="auto">
                              <a:xfrm>
                                <a:off x="0" y="0"/>
                                <a:ext cx="2457450" cy="285750"/>
                              </a:xfrm>
                              <a:prstGeom prst="rect">
                                <a:avLst/>
                              </a:prstGeom>
                              <a:solidFill>
                                <a:srgbClr val="FFFFFF"/>
                              </a:solidFill>
                              <a:ln>
                                <a:noFill/>
                              </a:ln>
                              <a:effectLst/>
                            </wps:spPr>
                            <wps:txbx>
                              <w:txbxContent>
                                <w:p>
                                  <w:pPr>
                                    <w:jc w:val="center"/>
                                    <w:rPr>
                                      <w:b/>
                                    </w:rPr>
                                  </w:pPr>
                                  <w:r>
                                    <w:rPr>
                                      <w:rFonts w:hint="eastAsia"/>
                                      <w:b/>
                                    </w:rPr>
                                    <w:t>图7-3水工保护1</w:t>
                                  </w:r>
                                </w:p>
                              </w:txbxContent>
                            </wps:txbx>
                            <wps:bodyPr rot="0" vert="horz" wrap="square" lIns="91440" tIns="45720" rIns="91440" bIns="45720" anchor="t" anchorCtr="0" upright="1">
                              <a:noAutofit/>
                            </wps:bodyPr>
                          </wps:wsp>
                        </a:graphicData>
                      </a:graphic>
                    </wp:anchor>
                  </w:drawing>
                </mc:Choice>
                <mc:Fallback>
                  <w:pict>
                    <v:shape id="Text Box 14" o:spid="_x0000_s1026" o:spt="202" type="#_x0000_t202" style="position:absolute;left:0pt;margin-left:17.55pt;margin-top:0.2pt;height:22.5pt;width:193.5pt;z-index:251662336;mso-width-relative:page;mso-height-relative:page;" fillcolor="#FFFFFF" filled="t" stroked="f" coordsize="21600,21600" o:gfxdata="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IiEzZrUAAAABgEA&#10;AA8AAAAAAAAAAQAgAAAAIgAAAGRycy9kb3ducmV2LnhtbFBLAQIUABQAAAAIAIdO4kBXVXH+HgIA&#10;AE0EAAAOAAAAAAAAAAEAIAAAACMBAABkcnMvZTJvRG9jLnhtbFBLBQYAAAAABgAGAFkBAACzBQAA&#10;AAA=&#10;">
                      <v:fill on="t" focussize="0,0"/>
                      <v:stroke on="f"/>
                      <v:imagedata o:title=""/>
                      <o:lock v:ext="edit" aspectratio="f"/>
                      <v:textbox>
                        <w:txbxContent>
                          <w:p>
                            <w:pPr>
                              <w:jc w:val="center"/>
                              <w:rPr>
                                <w:b/>
                              </w:rPr>
                            </w:pPr>
                            <w:r>
                              <w:rPr>
                                <w:rFonts w:hint="eastAsia"/>
                                <w:b/>
                              </w:rPr>
                              <w:t>图7-3水工保护1</w:t>
                            </w:r>
                          </w:p>
                        </w:txbxContent>
                      </v:textbox>
                    </v:shape>
                  </w:pict>
                </mc:Fallback>
              </mc:AlternateContent>
            </w:r>
            <w:r>
              <w:rPr>
                <w:color w:val="FF0000"/>
                <w:sz w:val="24"/>
              </w:rPr>
              <mc:AlternateContent>
                <mc:Choice Requires="wps">
                  <w:drawing>
                    <wp:anchor distT="0" distB="0" distL="114300" distR="114300" simplePos="0" relativeHeight="251666432" behindDoc="0" locked="0" layoutInCell="1" allowOverlap="1">
                      <wp:simplePos x="0" y="0"/>
                      <wp:positionH relativeFrom="column">
                        <wp:posOffset>2919730</wp:posOffset>
                      </wp:positionH>
                      <wp:positionV relativeFrom="paragraph">
                        <wp:posOffset>2540</wp:posOffset>
                      </wp:positionV>
                      <wp:extent cx="2257425" cy="285750"/>
                      <wp:effectExtent l="0" t="0" r="9525" b="0"/>
                      <wp:wrapNone/>
                      <wp:docPr id="20" name="Text Box 49"/>
                      <wp:cNvGraphicFramePr/>
                      <a:graphic xmlns:a="http://schemas.openxmlformats.org/drawingml/2006/main">
                        <a:graphicData uri="http://schemas.microsoft.com/office/word/2010/wordprocessingShape">
                          <wps:wsp>
                            <wps:cNvSpPr txBox="1">
                              <a:spLocks noChangeArrowheads="1"/>
                            </wps:cNvSpPr>
                            <wps:spPr bwMode="auto">
                              <a:xfrm>
                                <a:off x="0" y="0"/>
                                <a:ext cx="2257425" cy="285750"/>
                              </a:xfrm>
                              <a:prstGeom prst="rect">
                                <a:avLst/>
                              </a:prstGeom>
                              <a:solidFill>
                                <a:srgbClr val="FFFFFF"/>
                              </a:solidFill>
                              <a:ln>
                                <a:noFill/>
                              </a:ln>
                              <a:effectLst/>
                            </wps:spPr>
                            <wps:txbx>
                              <w:txbxContent>
                                <w:p>
                                  <w:pPr>
                                    <w:jc w:val="center"/>
                                    <w:rPr>
                                      <w:b/>
                                    </w:rPr>
                                  </w:pPr>
                                  <w:r>
                                    <w:rPr>
                                      <w:rFonts w:hint="eastAsia"/>
                                      <w:b/>
                                    </w:rPr>
                                    <w:t>图7-</w:t>
                                  </w:r>
                                  <w:r>
                                    <w:rPr>
                                      <w:b/>
                                    </w:rPr>
                                    <w:t>4</w:t>
                                  </w:r>
                                  <w:r>
                                    <w:rPr>
                                      <w:rFonts w:hint="eastAsia"/>
                                      <w:b/>
                                    </w:rPr>
                                    <w:t>管道穿越植被恢复情况1</w:t>
                                  </w:r>
                                </w:p>
                              </w:txbxContent>
                            </wps:txbx>
                            <wps:bodyPr rot="0" vert="horz" wrap="square" lIns="91440" tIns="45720" rIns="91440" bIns="45720" anchor="t" anchorCtr="0" upright="1">
                              <a:noAutofit/>
                            </wps:bodyPr>
                          </wps:wsp>
                        </a:graphicData>
                      </a:graphic>
                    </wp:anchor>
                  </w:drawing>
                </mc:Choice>
                <mc:Fallback>
                  <w:pict>
                    <v:shape id="Text Box 49" o:spid="_x0000_s1026" o:spt="202" type="#_x0000_t202" style="position:absolute;left:0pt;margin-left:229.9pt;margin-top:0.2pt;height:22.5pt;width:177.75pt;z-index:251666432;mso-width-relative:page;mso-height-relative:page;" fillcolor="#FFFFFF" filled="t" stroked="f" coordsize="21600,21600" o:gfxdata="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4yKLdUA&#10;AAAHAQAADwAAAAAAAAABACAAAAAiAAAAZHJzL2Rvd25yZXYueG1sUEsBAhQAFAAAAAgAh07iQKqg&#10;cN8iAgAATQQAAA4AAAAAAAAAAQAgAAAAJAEAAGRycy9lMm9Eb2MueG1sUEsFBgAAAAAGAAYAWQEA&#10;ALgFAAAAAA==&#10;">
                      <v:fill on="t" focussize="0,0"/>
                      <v:stroke on="f"/>
                      <v:imagedata o:title=""/>
                      <o:lock v:ext="edit" aspectratio="f"/>
                      <v:textbox>
                        <w:txbxContent>
                          <w:p>
                            <w:pPr>
                              <w:jc w:val="center"/>
                              <w:rPr>
                                <w:b/>
                              </w:rPr>
                            </w:pPr>
                            <w:r>
                              <w:rPr>
                                <w:rFonts w:hint="eastAsia"/>
                                <w:b/>
                              </w:rPr>
                              <w:t>图7-</w:t>
                            </w:r>
                            <w:r>
                              <w:rPr>
                                <w:b/>
                              </w:rPr>
                              <w:t>4</w:t>
                            </w:r>
                            <w:r>
                              <w:rPr>
                                <w:rFonts w:hint="eastAsia"/>
                                <w:b/>
                              </w:rPr>
                              <w:t>管道穿越植被恢复情况1</w:t>
                            </w:r>
                          </w:p>
                        </w:txbxContent>
                      </v:textbox>
                    </v:shape>
                  </w:pict>
                </mc:Fallback>
              </mc:AlternateContent>
            </w:r>
          </w:p>
          <w:p>
            <w:pPr>
              <w:pStyle w:val="43"/>
              <w:adjustRightInd w:val="0"/>
              <w:snapToGrid w:val="0"/>
              <w:spacing w:line="460" w:lineRule="exact"/>
              <w:ind w:firstLine="480" w:firstLineChars="0"/>
              <w:rPr>
                <w:bCs w:val="0"/>
                <w:color w:val="FF0000"/>
                <w:sz w:val="24"/>
                <w:szCs w:val="24"/>
              </w:rPr>
            </w:pPr>
            <w:r>
              <w:rPr>
                <w:bCs w:val="0"/>
                <w:color w:val="FF0000"/>
                <w:sz w:val="24"/>
                <w:szCs w:val="24"/>
              </w:rPr>
              <w:drawing>
                <wp:anchor distT="0" distB="0" distL="114300" distR="114300" simplePos="0" relativeHeight="251691008" behindDoc="0" locked="0" layoutInCell="1" allowOverlap="1">
                  <wp:simplePos x="0" y="0"/>
                  <wp:positionH relativeFrom="column">
                    <wp:posOffset>2793365</wp:posOffset>
                  </wp:positionH>
                  <wp:positionV relativeFrom="paragraph">
                    <wp:posOffset>5715</wp:posOffset>
                  </wp:positionV>
                  <wp:extent cx="2590800" cy="1866900"/>
                  <wp:effectExtent l="19050" t="0" r="0" b="0"/>
                  <wp:wrapNone/>
                  <wp:docPr id="25" name="图片 25" descr="C:\Users\Administrator\Documents\保德\管线图片\IMG_5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Users\Administrator\Documents\保德\管线图片\IMG_5529.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2590800" cy="1866900"/>
                          </a:xfrm>
                          <a:prstGeom prst="rect">
                            <a:avLst/>
                          </a:prstGeom>
                          <a:noFill/>
                          <a:ln>
                            <a:noFill/>
                          </a:ln>
                        </pic:spPr>
                      </pic:pic>
                    </a:graphicData>
                  </a:graphic>
                </wp:anchor>
              </w:drawing>
            </w:r>
            <w:r>
              <w:rPr>
                <w:bCs w:val="0"/>
                <w:color w:val="FF0000"/>
                <w:sz w:val="24"/>
                <w:szCs w:val="24"/>
              </w:rPr>
              <w:drawing>
                <wp:anchor distT="0" distB="0" distL="114300" distR="114300" simplePos="0" relativeHeight="251688960" behindDoc="0" locked="0" layoutInCell="1" allowOverlap="1">
                  <wp:simplePos x="0" y="0"/>
                  <wp:positionH relativeFrom="column">
                    <wp:posOffset>164465</wp:posOffset>
                  </wp:positionH>
                  <wp:positionV relativeFrom="paragraph">
                    <wp:posOffset>5715</wp:posOffset>
                  </wp:positionV>
                  <wp:extent cx="2533650" cy="1866900"/>
                  <wp:effectExtent l="19050" t="0" r="0" b="0"/>
                  <wp:wrapNone/>
                  <wp:docPr id="11" name="图片 11" descr="C:\Users\Administrator\AppData\Local\Microsoft\Windows\Temporary Internet Files\Content.Word\IMG_5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AppData\Local\Microsoft\Windows\Temporary Internet Files\Content.Word\IMG_551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2533650" cy="1866900"/>
                          </a:xfrm>
                          <a:prstGeom prst="rect">
                            <a:avLst/>
                          </a:prstGeom>
                          <a:noFill/>
                          <a:ln>
                            <a:noFill/>
                          </a:ln>
                        </pic:spPr>
                      </pic:pic>
                    </a:graphicData>
                  </a:graphic>
                </wp:anchor>
              </w:drawing>
            </w:r>
          </w:p>
          <w:p>
            <w:pPr>
              <w:pStyle w:val="43"/>
              <w:adjustRightInd w:val="0"/>
              <w:snapToGrid w:val="0"/>
              <w:spacing w:line="460" w:lineRule="exact"/>
              <w:ind w:firstLine="480" w:firstLineChars="0"/>
              <w:rPr>
                <w:bCs w:val="0"/>
                <w:color w:val="FF0000"/>
                <w:sz w:val="24"/>
                <w:szCs w:val="24"/>
              </w:rPr>
            </w:pPr>
            <w:r>
              <w:rPr>
                <w:bCs w:val="0"/>
                <w:color w:val="FF0000"/>
                <w:sz w:val="24"/>
                <w:szCs w:val="24"/>
              </w:rPr>
              <mc:AlternateContent>
                <mc:Choice Requires="wps">
                  <w:drawing>
                    <wp:anchor distT="0" distB="0" distL="114300" distR="114300" simplePos="0" relativeHeight="251692032" behindDoc="0" locked="0" layoutInCell="1" allowOverlap="1">
                      <wp:simplePos x="0" y="0"/>
                      <wp:positionH relativeFrom="column">
                        <wp:posOffset>2843530</wp:posOffset>
                      </wp:positionH>
                      <wp:positionV relativeFrom="paragraph">
                        <wp:posOffset>275590</wp:posOffset>
                      </wp:positionV>
                      <wp:extent cx="2112010" cy="1062990"/>
                      <wp:effectExtent l="6350" t="12700" r="15240" b="29210"/>
                      <wp:wrapNone/>
                      <wp:docPr id="43" name="直接连接符 197"/>
                      <wp:cNvGraphicFramePr/>
                      <a:graphic xmlns:a="http://schemas.openxmlformats.org/drawingml/2006/main">
                        <a:graphicData uri="http://schemas.microsoft.com/office/word/2010/wordprocessingShape">
                          <wps:wsp>
                            <wps:cNvSpPr/>
                            <wps:spPr>
                              <a:xfrm flipV="1">
                                <a:off x="0" y="0"/>
                                <a:ext cx="2112010" cy="1062990"/>
                              </a:xfrm>
                              <a:prstGeom prst="line">
                                <a:avLst/>
                              </a:prstGeom>
                              <a:ln w="28575" cap="flat" cmpd="sng">
                                <a:solidFill>
                                  <a:srgbClr val="FF0000"/>
                                </a:solidFill>
                                <a:prstDash val="solid"/>
                                <a:miter/>
                                <a:headEnd type="none" w="med" len="med"/>
                                <a:tailEnd type="none" w="med" len="med"/>
                              </a:ln>
                            </wps:spPr>
                            <wps:bodyPr upright="1"/>
                          </wps:wsp>
                        </a:graphicData>
                      </a:graphic>
                    </wp:anchor>
                  </w:drawing>
                </mc:Choice>
                <mc:Fallback>
                  <w:pict>
                    <v:line id="直接连接符 197" o:spid="_x0000_s1026" o:spt="20" style="position:absolute;left:0pt;flip:y;margin-left:223.9pt;margin-top:21.7pt;height:83.7pt;width:166.3pt;z-index:251692032;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">
                      <v:fill on="f" focussize="0,0"/>
                      <v:stroke weight="2.25pt" color="#FF0000" joinstyle="miter"/>
                      <v:imagedata o:title=""/>
                      <o:lock v:ext="edit" aspectratio="f"/>
                    </v:line>
                  </w:pict>
                </mc:Fallback>
              </mc:AlternateContent>
            </w:r>
            <w:r>
              <w:rPr>
                <w:bCs w:val="0"/>
                <w:color w:val="FF0000"/>
                <w:sz w:val="24"/>
                <w:szCs w:val="24"/>
              </w:rPr>
              <mc:AlternateContent>
                <mc:Choice Requires="wps">
                  <w:drawing>
                    <wp:anchor distT="0" distB="0" distL="114300" distR="114300" simplePos="0" relativeHeight="251689984" behindDoc="0" locked="0" layoutInCell="1" allowOverlap="1">
                      <wp:simplePos x="0" y="0"/>
                      <wp:positionH relativeFrom="column">
                        <wp:posOffset>1278890</wp:posOffset>
                      </wp:positionH>
                      <wp:positionV relativeFrom="paragraph">
                        <wp:posOffset>275590</wp:posOffset>
                      </wp:positionV>
                      <wp:extent cx="180975" cy="1062990"/>
                      <wp:effectExtent l="13970" t="2540" r="14605" b="20320"/>
                      <wp:wrapNone/>
                      <wp:docPr id="41" name="直接连接符 6"/>
                      <wp:cNvGraphicFramePr/>
                      <a:graphic xmlns:a="http://schemas.openxmlformats.org/drawingml/2006/main">
                        <a:graphicData uri="http://schemas.microsoft.com/office/word/2010/wordprocessingShape">
                          <wps:wsp>
                            <wps:cNvSpPr/>
                            <wps:spPr>
                              <a:xfrm flipH="1">
                                <a:off x="0" y="0"/>
                                <a:ext cx="180975" cy="1062990"/>
                              </a:xfrm>
                              <a:prstGeom prst="line">
                                <a:avLst/>
                              </a:prstGeom>
                              <a:ln w="28575" cap="flat" cmpd="sng">
                                <a:solidFill>
                                  <a:srgbClr val="FF0000"/>
                                </a:solidFill>
                                <a:prstDash val="solid"/>
                                <a:miter/>
                                <a:headEnd type="none" w="med" len="med"/>
                                <a:tailEnd type="none" w="med" len="med"/>
                              </a:ln>
                            </wps:spPr>
                            <wps:bodyPr upright="1"/>
                          </wps:wsp>
                        </a:graphicData>
                      </a:graphic>
                    </wp:anchor>
                  </w:drawing>
                </mc:Choice>
                <mc:Fallback>
                  <w:pict>
                    <v:line id="直接连接符 6" o:spid="_x0000_s1026" o:spt="20" style="position:absolute;left:0pt;flip:x;margin-left:100.7pt;margin-top:21.7pt;height:83.7pt;width:14.25pt;z-index:251689984;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">
                      <v:fill on="f" focussize="0,0"/>
                      <v:stroke weight="2.25pt" color="#FF0000" joinstyle="miter"/>
                      <v:imagedata o:title=""/>
                      <o:lock v:ext="edit" aspectratio="f"/>
                    </v:line>
                  </w:pict>
                </mc:Fallback>
              </mc:AlternateContent>
            </w: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r>
              <w:rPr>
                <w:color w:val="FF0000"/>
                <w:sz w:val="24"/>
              </w:rPr>
              <mc:AlternateContent>
                <mc:Choice Requires="wps">
                  <w:drawing>
                    <wp:anchor distT="0" distB="0" distL="114300" distR="114300" simplePos="0" relativeHeight="251668480" behindDoc="0" locked="0" layoutInCell="1" allowOverlap="1">
                      <wp:simplePos x="0" y="0"/>
                      <wp:positionH relativeFrom="column">
                        <wp:posOffset>2919730</wp:posOffset>
                      </wp:positionH>
                      <wp:positionV relativeFrom="paragraph">
                        <wp:posOffset>148590</wp:posOffset>
                      </wp:positionV>
                      <wp:extent cx="2257425" cy="285750"/>
                      <wp:effectExtent l="0" t="0" r="9525" b="0"/>
                      <wp:wrapNone/>
                      <wp:docPr id="18" name="Text Box 53"/>
                      <wp:cNvGraphicFramePr/>
                      <a:graphic xmlns:a="http://schemas.openxmlformats.org/drawingml/2006/main">
                        <a:graphicData uri="http://schemas.microsoft.com/office/word/2010/wordprocessingShape">
                          <wps:wsp>
                            <wps:cNvSpPr txBox="1">
                              <a:spLocks noChangeArrowheads="1"/>
                            </wps:cNvSpPr>
                            <wps:spPr bwMode="auto">
                              <a:xfrm>
                                <a:off x="0" y="0"/>
                                <a:ext cx="2257425" cy="285750"/>
                              </a:xfrm>
                              <a:prstGeom prst="rect">
                                <a:avLst/>
                              </a:prstGeom>
                              <a:solidFill>
                                <a:srgbClr val="FFFFFF"/>
                              </a:solidFill>
                              <a:ln>
                                <a:noFill/>
                              </a:ln>
                              <a:effectLst/>
                            </wps:spPr>
                            <wps:txbx>
                              <w:txbxContent>
                                <w:p>
                                  <w:pPr>
                                    <w:jc w:val="center"/>
                                    <w:rPr>
                                      <w:b/>
                                    </w:rPr>
                                  </w:pPr>
                                  <w:r>
                                    <w:rPr>
                                      <w:rFonts w:hint="eastAsia"/>
                                      <w:b/>
                                    </w:rPr>
                                    <w:t>图7-</w:t>
                                  </w:r>
                                  <w:r>
                                    <w:rPr>
                                      <w:b/>
                                    </w:rPr>
                                    <w:t>6</w:t>
                                  </w:r>
                                  <w:r>
                                    <w:rPr>
                                      <w:rFonts w:hint="eastAsia"/>
                                      <w:b/>
                                    </w:rPr>
                                    <w:t>管道穿越植被恢复情况2</w:t>
                                  </w:r>
                                </w:p>
                              </w:txbxContent>
                            </wps:txbx>
                            <wps:bodyPr rot="0" vert="horz" wrap="square" lIns="91440" tIns="45720" rIns="91440" bIns="45720" anchor="t" anchorCtr="0" upright="1">
                              <a:noAutofit/>
                            </wps:bodyPr>
                          </wps:wsp>
                        </a:graphicData>
                      </a:graphic>
                    </wp:anchor>
                  </w:drawing>
                </mc:Choice>
                <mc:Fallback>
                  <w:pict>
                    <v:shape id="Text Box 53" o:spid="_x0000_s1026" o:spt="202" type="#_x0000_t202" style="position:absolute;left:0pt;margin-left:229.9pt;margin-top:11.7pt;height:22.5pt;width:177.75pt;z-index:251668480;mso-width-relative:page;mso-height-relative:page;" fillcolor="#FFFFFF" filled="t" stroked="f" coordsize="21600,21600" o:gfxdata="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6VCt&#10;btgAAAAJAQAADwAAAAAAAAABACAAAAAiAAAAZHJzL2Rvd25yZXYueG1sUEsBAhQAFAAAAAgAh07i&#10;QOJs2kQiAgAATQQAAA4AAAAAAAAAAQAgAAAAJwEAAGRycy9lMm9Eb2MueG1sUEsFBgAAAAAGAAYA&#10;WQEAALsFAAAAAA==&#10;">
                      <v:fill on="t" focussize="0,0"/>
                      <v:stroke on="f"/>
                      <v:imagedata o:title=""/>
                      <o:lock v:ext="edit" aspectratio="f"/>
                      <v:textbox>
                        <w:txbxContent>
                          <w:p>
                            <w:pPr>
                              <w:jc w:val="center"/>
                              <w:rPr>
                                <w:b/>
                              </w:rPr>
                            </w:pPr>
                            <w:r>
                              <w:rPr>
                                <w:rFonts w:hint="eastAsia"/>
                                <w:b/>
                              </w:rPr>
                              <w:t>图7-</w:t>
                            </w:r>
                            <w:r>
                              <w:rPr>
                                <w:b/>
                              </w:rPr>
                              <w:t>6</w:t>
                            </w:r>
                            <w:r>
                              <w:rPr>
                                <w:rFonts w:hint="eastAsia"/>
                                <w:b/>
                              </w:rPr>
                              <w:t>管道穿越植被恢复情况2</w:t>
                            </w:r>
                          </w:p>
                        </w:txbxContent>
                      </v:textbox>
                    </v:shape>
                  </w:pict>
                </mc:Fallback>
              </mc:AlternateContent>
            </w:r>
            <w:r>
              <w:rPr>
                <w:color w:val="FF0000"/>
                <w:sz w:val="24"/>
              </w:rPr>
              <mc:AlternateContent>
                <mc:Choice Requires="wps">
                  <w:drawing>
                    <wp:anchor distT="0" distB="0" distL="114300" distR="114300" simplePos="0" relativeHeight="251665408" behindDoc="0" locked="0" layoutInCell="1" allowOverlap="1">
                      <wp:simplePos x="0" y="0"/>
                      <wp:positionH relativeFrom="column">
                        <wp:posOffset>222885</wp:posOffset>
                      </wp:positionH>
                      <wp:positionV relativeFrom="paragraph">
                        <wp:posOffset>148590</wp:posOffset>
                      </wp:positionV>
                      <wp:extent cx="2343150" cy="285750"/>
                      <wp:effectExtent l="0" t="0" r="0" b="0"/>
                      <wp:wrapNone/>
                      <wp:docPr id="7" name="Text Box 47"/>
                      <wp:cNvGraphicFramePr/>
                      <a:graphic xmlns:a="http://schemas.openxmlformats.org/drawingml/2006/main">
                        <a:graphicData uri="http://schemas.microsoft.com/office/word/2010/wordprocessingShape">
                          <wps:wsp>
                            <wps:cNvSpPr txBox="1">
                              <a:spLocks noChangeArrowheads="1"/>
                            </wps:cNvSpPr>
                            <wps:spPr bwMode="auto">
                              <a:xfrm>
                                <a:off x="0" y="0"/>
                                <a:ext cx="2343150" cy="285750"/>
                              </a:xfrm>
                              <a:prstGeom prst="rect">
                                <a:avLst/>
                              </a:prstGeom>
                              <a:solidFill>
                                <a:srgbClr val="FFFFFF"/>
                              </a:solidFill>
                              <a:ln>
                                <a:noFill/>
                              </a:ln>
                              <a:effectLst/>
                            </wps:spPr>
                            <wps:txbx>
                              <w:txbxContent>
                                <w:p>
                                  <w:pPr>
                                    <w:jc w:val="center"/>
                                    <w:rPr>
                                      <w:b/>
                                    </w:rPr>
                                  </w:pPr>
                                  <w:r>
                                    <w:rPr>
                                      <w:rFonts w:hint="eastAsia"/>
                                      <w:b/>
                                    </w:rPr>
                                    <w:t>图7-5管道穿越机耕道路恢复情况</w:t>
                                  </w:r>
                                </w:p>
                              </w:txbxContent>
                            </wps:txbx>
                            <wps:bodyPr rot="0" vert="horz" wrap="square" lIns="91440" tIns="45720" rIns="91440" bIns="45720" anchor="t" anchorCtr="0" upright="1">
                              <a:noAutofit/>
                            </wps:bodyPr>
                          </wps:wsp>
                        </a:graphicData>
                      </a:graphic>
                    </wp:anchor>
                  </w:drawing>
                </mc:Choice>
                <mc:Fallback>
                  <w:pict>
                    <v:shape id="Text Box 47" o:spid="_x0000_s1026" o:spt="202" type="#_x0000_t202" style="position:absolute;left:0pt;margin-left:17.55pt;margin-top:11.7pt;height:22.5pt;width:184.5pt;z-index:251665408;mso-width-relative:page;mso-height-relative:page;" fillcolor="#FFFFFF" filled="t" stroked="f" coordsize="21600,21600" o:gfxdata="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alBta1wAA&#10;AAgBAAAPAAAAAAAAAAEAIAAAACIAAABkcnMvZG93bnJldi54bWxQSwECFAAUAAAACACHTuJAr/Ln&#10;WB8CAABMBAAADgAAAAAAAAABACAAAAAmAQAAZHJzL2Uyb0RvYy54bWxQSwUGAAAAAAYABgBZAQAA&#10;twUAAAAA&#10;">
                      <v:fill on="t" focussize="0,0"/>
                      <v:stroke on="f"/>
                      <v:imagedata o:title=""/>
                      <o:lock v:ext="edit" aspectratio="f"/>
                      <v:textbox>
                        <w:txbxContent>
                          <w:p>
                            <w:pPr>
                              <w:jc w:val="center"/>
                              <w:rPr>
                                <w:b/>
                              </w:rPr>
                            </w:pPr>
                            <w:r>
                              <w:rPr>
                                <w:rFonts w:hint="eastAsia"/>
                                <w:b/>
                              </w:rPr>
                              <w:t>图7-5管道穿越机耕道路恢复情况</w:t>
                            </w:r>
                          </w:p>
                        </w:txbxContent>
                      </v:textbox>
                    </v:shape>
                  </w:pict>
                </mc:Fallback>
              </mc:AlternateContent>
            </w:r>
            <w:r>
              <w:rPr>
                <w:rFonts w:hint="eastAsia"/>
                <w:bCs w:val="0"/>
                <w:color w:val="FF0000"/>
                <w:sz w:val="24"/>
                <w:szCs w:val="24"/>
              </w:rPr>
              <w:t xml:space="preserve">                                 </w:t>
            </w:r>
          </w:p>
          <w:p>
            <w:pPr>
              <w:pStyle w:val="43"/>
              <w:adjustRightInd w:val="0"/>
              <w:snapToGrid w:val="0"/>
              <w:spacing w:line="460" w:lineRule="exact"/>
              <w:ind w:firstLine="480" w:firstLineChars="0"/>
              <w:rPr>
                <w:bCs w:val="0"/>
                <w:color w:val="FF0000"/>
                <w:sz w:val="24"/>
                <w:szCs w:val="24"/>
              </w:rPr>
            </w:pPr>
            <w:r>
              <w:rPr>
                <w:bCs w:val="0"/>
                <w:color w:val="FF0000"/>
                <w:sz w:val="24"/>
                <w:szCs w:val="24"/>
              </w:rPr>
              <w:drawing>
                <wp:anchor distT="0" distB="0" distL="114300" distR="114300" simplePos="0" relativeHeight="251695104" behindDoc="0" locked="0" layoutInCell="1" allowOverlap="1">
                  <wp:simplePos x="0" y="0"/>
                  <wp:positionH relativeFrom="column">
                    <wp:posOffset>2802890</wp:posOffset>
                  </wp:positionH>
                  <wp:positionV relativeFrom="paragraph">
                    <wp:posOffset>141605</wp:posOffset>
                  </wp:positionV>
                  <wp:extent cx="2590800" cy="1819275"/>
                  <wp:effectExtent l="19050" t="0" r="0" b="0"/>
                  <wp:wrapNone/>
                  <wp:docPr id="197" name="图片 197" descr="C:\Users\Administrator\AppData\Local\Microsoft\Windows\Temporary Internet Files\Content.Word\IMG_55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7" descr="C:\Users\Administrator\AppData\Local\Microsoft\Windows\Temporary Internet Files\Content.Word\IMG_5559.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2590800" cy="1819275"/>
                          </a:xfrm>
                          <a:prstGeom prst="rect">
                            <a:avLst/>
                          </a:prstGeom>
                          <a:noFill/>
                          <a:ln>
                            <a:noFill/>
                          </a:ln>
                        </pic:spPr>
                      </pic:pic>
                    </a:graphicData>
                  </a:graphic>
                </wp:anchor>
              </w:drawing>
            </w:r>
            <w:r>
              <w:rPr>
                <w:bCs w:val="0"/>
                <w:color w:val="FF0000"/>
                <w:sz w:val="24"/>
                <w:szCs w:val="24"/>
              </w:rPr>
              <w:drawing>
                <wp:anchor distT="0" distB="0" distL="114300" distR="114300" simplePos="0" relativeHeight="251693056" behindDoc="0" locked="0" layoutInCell="1" allowOverlap="1">
                  <wp:simplePos x="0" y="0"/>
                  <wp:positionH relativeFrom="column">
                    <wp:posOffset>154940</wp:posOffset>
                  </wp:positionH>
                  <wp:positionV relativeFrom="paragraph">
                    <wp:posOffset>142240</wp:posOffset>
                  </wp:positionV>
                  <wp:extent cx="2552700" cy="1819275"/>
                  <wp:effectExtent l="19050" t="0" r="0" b="0"/>
                  <wp:wrapNone/>
                  <wp:docPr id="10" name="图片 3" descr="C:\Users\lenovo\AppData\Roaming\Tencent\Users\346914618\QQ\WinTemp\RichOle\6](S(A3GS$1GV$UGMXD]L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C:\Users\lenovo\AppData\Roaming\Tencent\Users\346914618\QQ\WinTemp\RichOle\6](S(A3GS$1GV$UGMXD]L8C.png"/>
                          <pic:cNvPicPr>
                            <a:picLocks noChangeAspect="1" noChangeArrowheads="1"/>
                          </pic:cNvPicPr>
                        </pic:nvPicPr>
                        <pic:blipFill>
                          <a:blip r:embed="rId28" cstate="print"/>
                          <a:srcRect/>
                          <a:stretch>
                            <a:fillRect/>
                          </a:stretch>
                        </pic:blipFill>
                        <pic:spPr>
                          <a:xfrm>
                            <a:off x="0" y="0"/>
                            <a:ext cx="2552700" cy="1819275"/>
                          </a:xfrm>
                          <a:prstGeom prst="rect">
                            <a:avLst/>
                          </a:prstGeom>
                          <a:noFill/>
                          <a:ln w="9525">
                            <a:noFill/>
                            <a:miter lim="800000"/>
                            <a:headEnd/>
                            <a:tailEnd/>
                          </a:ln>
                        </pic:spPr>
                      </pic:pic>
                    </a:graphicData>
                  </a:graphic>
                </wp:anchor>
              </w:drawing>
            </w:r>
          </w:p>
          <w:p>
            <w:pPr>
              <w:pStyle w:val="43"/>
              <w:adjustRightInd w:val="0"/>
              <w:snapToGrid w:val="0"/>
              <w:spacing w:line="460" w:lineRule="exact"/>
              <w:ind w:firstLine="480" w:firstLineChars="0"/>
              <w:rPr>
                <w:bCs w:val="0"/>
                <w:color w:val="FF0000"/>
                <w:sz w:val="24"/>
                <w:szCs w:val="24"/>
              </w:rPr>
            </w:pPr>
            <w:r>
              <w:rPr>
                <w:bCs w:val="0"/>
                <w:color w:val="FF0000"/>
                <w:sz w:val="24"/>
                <w:szCs w:val="24"/>
              </w:rPr>
              <mc:AlternateContent>
                <mc:Choice Requires="wps">
                  <w:drawing>
                    <wp:anchor distT="0" distB="0" distL="114300" distR="114300" simplePos="0" relativeHeight="251694080" behindDoc="0" locked="0" layoutInCell="1" allowOverlap="1">
                      <wp:simplePos x="0" y="0"/>
                      <wp:positionH relativeFrom="column">
                        <wp:posOffset>167005</wp:posOffset>
                      </wp:positionH>
                      <wp:positionV relativeFrom="paragraph">
                        <wp:posOffset>250190</wp:posOffset>
                      </wp:positionV>
                      <wp:extent cx="1626235" cy="890270"/>
                      <wp:effectExtent l="6985" t="12700" r="24130" b="30480"/>
                      <wp:wrapNone/>
                      <wp:docPr id="44" name="直接连接符 7"/>
                      <wp:cNvGraphicFramePr/>
                      <a:graphic xmlns:a="http://schemas.openxmlformats.org/drawingml/2006/main">
                        <a:graphicData uri="http://schemas.microsoft.com/office/word/2010/wordprocessingShape">
                          <wps:wsp>
                            <wps:cNvSpPr/>
                            <wps:spPr>
                              <a:xfrm flipH="1">
                                <a:off x="0" y="0"/>
                                <a:ext cx="1626235" cy="890270"/>
                              </a:xfrm>
                              <a:prstGeom prst="line">
                                <a:avLst/>
                              </a:prstGeom>
                              <a:ln w="28575" cap="flat" cmpd="sng">
                                <a:solidFill>
                                  <a:srgbClr val="FF0000"/>
                                </a:solidFill>
                                <a:prstDash val="solid"/>
                                <a:miter/>
                                <a:headEnd type="none" w="med" len="med"/>
                                <a:tailEnd type="none" w="med" len="med"/>
                              </a:ln>
                            </wps:spPr>
                            <wps:bodyPr upright="1"/>
                          </wps:wsp>
                        </a:graphicData>
                      </a:graphic>
                    </wp:anchor>
                  </w:drawing>
                </mc:Choice>
                <mc:Fallback>
                  <w:pict>
                    <v:line id="直接连接符 7" o:spid="_x0000_s1026" o:spt="20" style="position:absolute;left:0pt;flip:x;margin-left:13.15pt;margin-top:19.7pt;height:70.1pt;width:128.05pt;z-index:251694080;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">
                      <v:fill on="f" focussize="0,0"/>
                      <v:stroke weight="2.25pt" color="#FF0000" joinstyle="miter"/>
                      <v:imagedata o:title=""/>
                      <o:lock v:ext="edit" aspectratio="f"/>
                    </v:line>
                  </w:pict>
                </mc:Fallback>
              </mc:AlternateContent>
            </w:r>
          </w:p>
          <w:p>
            <w:pPr>
              <w:pStyle w:val="43"/>
              <w:adjustRightInd w:val="0"/>
              <w:snapToGrid w:val="0"/>
              <w:spacing w:line="460" w:lineRule="exact"/>
              <w:ind w:firstLine="480" w:firstLineChars="0"/>
              <w:rPr>
                <w:bCs w:val="0"/>
                <w:color w:val="FF0000"/>
                <w:sz w:val="24"/>
                <w:szCs w:val="24"/>
              </w:rPr>
            </w:pPr>
          </w:p>
          <w:p>
            <w:pPr>
              <w:widowControl/>
              <w:jc w:val="left"/>
              <w:rPr>
                <w:rFonts w:ascii="宋体" w:hAnsi="宋体" w:cs="宋体"/>
                <w:kern w:val="0"/>
                <w:sz w:val="24"/>
              </w:rPr>
            </w:pPr>
            <w:r>
              <w:rPr>
                <w:bCs/>
                <w:color w:val="FF0000"/>
                <w:sz w:val="24"/>
              </w:rPr>
              <mc:AlternateContent>
                <mc:Choice Requires="wps">
                  <w:drawing>
                    <wp:anchor distT="0" distB="0" distL="114300" distR="114300" simplePos="0" relativeHeight="251696128" behindDoc="0" locked="0" layoutInCell="1" allowOverlap="1">
                      <wp:simplePos x="0" y="0"/>
                      <wp:positionH relativeFrom="column">
                        <wp:posOffset>3669665</wp:posOffset>
                      </wp:positionH>
                      <wp:positionV relativeFrom="paragraph">
                        <wp:posOffset>75565</wp:posOffset>
                      </wp:positionV>
                      <wp:extent cx="542925" cy="556895"/>
                      <wp:effectExtent l="10160" t="10160" r="18415" b="23495"/>
                      <wp:wrapNone/>
                      <wp:docPr id="45" name="直接连接符 196"/>
                      <wp:cNvGraphicFramePr/>
                      <a:graphic xmlns:a="http://schemas.openxmlformats.org/drawingml/2006/main">
                        <a:graphicData uri="http://schemas.microsoft.com/office/word/2010/wordprocessingShape">
                          <wps:wsp>
                            <wps:cNvSpPr/>
                            <wps:spPr>
                              <a:xfrm flipV="1">
                                <a:off x="0" y="0"/>
                                <a:ext cx="542925" cy="556895"/>
                              </a:xfrm>
                              <a:prstGeom prst="line">
                                <a:avLst/>
                              </a:prstGeom>
                              <a:ln w="28575" cap="flat" cmpd="sng">
                                <a:solidFill>
                                  <a:srgbClr val="FF0000"/>
                                </a:solidFill>
                                <a:prstDash val="solid"/>
                                <a:miter/>
                                <a:headEnd type="none" w="med" len="med"/>
                                <a:tailEnd type="none" w="med" len="med"/>
                              </a:ln>
                            </wps:spPr>
                            <wps:bodyPr upright="1"/>
                          </wps:wsp>
                        </a:graphicData>
                      </a:graphic>
                    </wp:anchor>
                  </w:drawing>
                </mc:Choice>
                <mc:Fallback>
                  <w:pict>
                    <v:line id="直接连接符 196" o:spid="_x0000_s1026" o:spt="20" style="position:absolute;left:0pt;flip:y;margin-left:288.95pt;margin-top:5.95pt;height:43.85pt;width:42.75pt;z-index:251696128;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">
                      <v:fill on="f" focussize="0,0"/>
                      <v:stroke weight="2.25pt" color="#FF0000" joinstyle="miter"/>
                      <v:imagedata o:title=""/>
                      <o:lock v:ext="edit" aspectratio="f"/>
                    </v:line>
                  </w:pict>
                </mc:Fallback>
              </mc:AlternateContent>
            </w: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480" w:firstLineChars="0"/>
              <w:rPr>
                <w:bCs w:val="0"/>
                <w:color w:val="FF0000"/>
                <w:sz w:val="24"/>
                <w:szCs w:val="24"/>
              </w:rPr>
            </w:pPr>
            <w:r>
              <w:rPr>
                <w:rFonts w:hint="eastAsia"/>
                <w:bCs w:val="0"/>
                <w:color w:val="FF0000"/>
                <w:sz w:val="24"/>
                <w:szCs w:val="24"/>
              </w:rPr>
              <w:t xml:space="preserve">                                 </w:t>
            </w:r>
          </w:p>
          <w:p>
            <w:pPr>
              <w:pStyle w:val="43"/>
              <w:adjustRightInd w:val="0"/>
              <w:snapToGrid w:val="0"/>
              <w:spacing w:line="460" w:lineRule="exact"/>
              <w:ind w:firstLine="0" w:firstLineChars="0"/>
              <w:rPr>
                <w:bCs w:val="0"/>
                <w:color w:val="FF0000"/>
                <w:sz w:val="24"/>
                <w:szCs w:val="24"/>
              </w:rPr>
            </w:pPr>
            <w:r>
              <w:rPr>
                <w:color w:val="FF0000"/>
                <w:sz w:val="24"/>
              </w:rPr>
              <w:drawing>
                <wp:anchor distT="0" distB="0" distL="114300" distR="114300" simplePos="0" relativeHeight="251660288" behindDoc="0" locked="0" layoutInCell="1" allowOverlap="1">
                  <wp:simplePos x="0" y="0"/>
                  <wp:positionH relativeFrom="column">
                    <wp:posOffset>2840990</wp:posOffset>
                  </wp:positionH>
                  <wp:positionV relativeFrom="paragraph">
                    <wp:posOffset>267335</wp:posOffset>
                  </wp:positionV>
                  <wp:extent cx="2552700" cy="1628775"/>
                  <wp:effectExtent l="19050" t="0" r="0" b="0"/>
                  <wp:wrapNone/>
                  <wp:docPr id="12" name="图片 193" descr="C:\Users\Administrator\Documents\保德\管线图片\IMG_5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93" descr="C:\Users\Administrator\Documents\保德\管线图片\IMG_5546.JPG"/>
                          <pic:cNvPicPr>
                            <a:picLocks noChangeAspect="1" noChangeArrowheads="1"/>
                          </pic:cNvPicPr>
                        </pic:nvPicPr>
                        <pic:blipFill>
                          <a:blip r:embed="rId29" cstate="print">
                            <a:extLst>
                              <a:ext uri="{28A0092B-C50C-407E-A947-70E740481C1C}">
                                <a14:useLocalDpi xmlns:a14="http://schemas.microsoft.com/office/drawing/2010/main" val="0"/>
                              </a:ext>
                            </a:extLst>
                          </a:blip>
                          <a:srcRect l="49157" t="36841" r="28072" b="27034"/>
                          <a:stretch>
                            <a:fillRect/>
                          </a:stretch>
                        </pic:blipFill>
                        <pic:spPr>
                          <a:xfrm>
                            <a:off x="0" y="0"/>
                            <a:ext cx="2552700" cy="1628775"/>
                          </a:xfrm>
                          <a:prstGeom prst="rect">
                            <a:avLst/>
                          </a:prstGeom>
                          <a:noFill/>
                          <a:ln>
                            <a:noFill/>
                          </a:ln>
                        </pic:spPr>
                      </pic:pic>
                    </a:graphicData>
                  </a:graphic>
                </wp:anchor>
              </w:drawing>
            </w:r>
            <w:r>
              <w:rPr>
                <w:color w:val="FF0000"/>
                <w:sz w:val="24"/>
              </w:rPr>
              <w:drawing>
                <wp:anchor distT="0" distB="0" distL="114300" distR="114300" simplePos="0" relativeHeight="251659264" behindDoc="0" locked="0" layoutInCell="1" allowOverlap="1">
                  <wp:simplePos x="0" y="0"/>
                  <wp:positionH relativeFrom="column">
                    <wp:posOffset>183515</wp:posOffset>
                  </wp:positionH>
                  <wp:positionV relativeFrom="paragraph">
                    <wp:posOffset>267335</wp:posOffset>
                  </wp:positionV>
                  <wp:extent cx="2514600" cy="1628775"/>
                  <wp:effectExtent l="19050" t="0" r="0" b="0"/>
                  <wp:wrapNone/>
                  <wp:docPr id="14" name="图片 5" descr="C:\Users\lenovo\AppData\Roaming\Tencent\Users\346914618\QQ\WinTemp\RichOle\GFM[BM7N%EPDVC8{I6YOG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C:\Users\lenovo\AppData\Roaming\Tencent\Users\346914618\QQ\WinTemp\RichOle\GFM[BM7N%EPDVC8{I6YOG22.png"/>
                          <pic:cNvPicPr>
                            <a:picLocks noChangeAspect="1" noChangeArrowheads="1"/>
                          </pic:cNvPicPr>
                        </pic:nvPicPr>
                        <pic:blipFill>
                          <a:blip r:embed="rId30" cstate="print"/>
                          <a:srcRect/>
                          <a:stretch>
                            <a:fillRect/>
                          </a:stretch>
                        </pic:blipFill>
                        <pic:spPr>
                          <a:xfrm>
                            <a:off x="0" y="0"/>
                            <a:ext cx="2514600" cy="1628775"/>
                          </a:xfrm>
                          <a:prstGeom prst="rect">
                            <a:avLst/>
                          </a:prstGeom>
                          <a:noFill/>
                          <a:ln w="9525">
                            <a:noFill/>
                            <a:miter lim="800000"/>
                            <a:headEnd/>
                            <a:tailEnd/>
                          </a:ln>
                        </pic:spPr>
                      </pic:pic>
                    </a:graphicData>
                  </a:graphic>
                </wp:anchor>
              </w:drawing>
            </w:r>
            <w:r>
              <w:rPr>
                <w:color w:val="FF0000"/>
                <w:sz w:val="24"/>
              </w:rPr>
              <mc:AlternateContent>
                <mc:Choice Requires="wps">
                  <w:drawing>
                    <wp:anchor distT="0" distB="0" distL="114300" distR="114300" simplePos="0" relativeHeight="251664384" behindDoc="0" locked="0" layoutInCell="1" allowOverlap="1">
                      <wp:simplePos x="0" y="0"/>
                      <wp:positionH relativeFrom="column">
                        <wp:posOffset>2919730</wp:posOffset>
                      </wp:positionH>
                      <wp:positionV relativeFrom="paragraph">
                        <wp:posOffset>10795</wp:posOffset>
                      </wp:positionV>
                      <wp:extent cx="2352675" cy="285750"/>
                      <wp:effectExtent l="0" t="0" r="9525" b="0"/>
                      <wp:wrapNone/>
                      <wp:docPr id="16" name="Text Box 46"/>
                      <wp:cNvGraphicFramePr/>
                      <a:graphic xmlns:a="http://schemas.openxmlformats.org/drawingml/2006/main">
                        <a:graphicData uri="http://schemas.microsoft.com/office/word/2010/wordprocessingShape">
                          <wps:wsp>
                            <wps:cNvSpPr txBox="1">
                              <a:spLocks noChangeArrowheads="1"/>
                            </wps:cNvSpPr>
                            <wps:spPr bwMode="auto">
                              <a:xfrm>
                                <a:off x="0" y="0"/>
                                <a:ext cx="2352675" cy="285750"/>
                              </a:xfrm>
                              <a:prstGeom prst="rect">
                                <a:avLst/>
                              </a:prstGeom>
                              <a:solidFill>
                                <a:srgbClr val="FFFFFF"/>
                              </a:solidFill>
                              <a:ln>
                                <a:noFill/>
                              </a:ln>
                              <a:effectLst/>
                            </wps:spPr>
                            <wps:txbx>
                              <w:txbxContent>
                                <w:p>
                                  <w:pPr>
                                    <w:jc w:val="center"/>
                                    <w:rPr>
                                      <w:b/>
                                    </w:rPr>
                                  </w:pPr>
                                  <w:r>
                                    <w:rPr>
                                      <w:rFonts w:hint="eastAsia"/>
                                      <w:b/>
                                    </w:rPr>
                                    <w:t>图7-</w:t>
                                  </w:r>
                                  <w:r>
                                    <w:rPr>
                                      <w:b/>
                                    </w:rPr>
                                    <w:t>8</w:t>
                                  </w:r>
                                  <w:r>
                                    <w:rPr>
                                      <w:rFonts w:hint="eastAsia"/>
                                      <w:b/>
                                    </w:rPr>
                                    <w:t>管道穿越朱家川河恢复情况</w:t>
                                  </w:r>
                                </w:p>
                              </w:txbxContent>
                            </wps:txbx>
                            <wps:bodyPr rot="0" vert="horz" wrap="square" lIns="91440" tIns="45720" rIns="91440" bIns="45720" anchor="t" anchorCtr="0" upright="1">
                              <a:noAutofit/>
                            </wps:bodyPr>
                          </wps:wsp>
                        </a:graphicData>
                      </a:graphic>
                    </wp:anchor>
                  </w:drawing>
                </mc:Choice>
                <mc:Fallback>
                  <w:pict>
                    <v:shape id="Text Box 46" o:spid="_x0000_s1026" o:spt="202" type="#_x0000_t202" style="position:absolute;left:0pt;margin-left:229.9pt;margin-top:0.85pt;height:22.5pt;width:185.25pt;z-index:251664384;mso-width-relative:page;mso-height-relative:page;" fillcolor="#FFFFFF" filled="t" stroked="f" coordsize="21600,21600" o:gfxdata="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rnyrW&#10;AAAACAEAAA8AAAAAAAAAAQAgAAAAIgAAAGRycy9kb3ducmV2LnhtbFBLAQIUABQAAAAIAIdO4kDI&#10;ZuEmIgIAAE0EAAAOAAAAAAAAAAEAIAAAACUBAABkcnMvZTJvRG9jLnhtbFBLBQYAAAAABgAGAFkB&#10;AAC5BQAAAAA=&#10;">
                      <v:fill on="t" focussize="0,0"/>
                      <v:stroke on="f"/>
                      <v:imagedata o:title=""/>
                      <o:lock v:ext="edit" aspectratio="f"/>
                      <v:textbox>
                        <w:txbxContent>
                          <w:p>
                            <w:pPr>
                              <w:jc w:val="center"/>
                              <w:rPr>
                                <w:b/>
                              </w:rPr>
                            </w:pPr>
                            <w:r>
                              <w:rPr>
                                <w:rFonts w:hint="eastAsia"/>
                                <w:b/>
                              </w:rPr>
                              <w:t>图7-</w:t>
                            </w:r>
                            <w:r>
                              <w:rPr>
                                <w:b/>
                              </w:rPr>
                              <w:t>8</w:t>
                            </w:r>
                            <w:r>
                              <w:rPr>
                                <w:rFonts w:hint="eastAsia"/>
                                <w:b/>
                              </w:rPr>
                              <w:t>管道穿越朱家川河恢复情况</w:t>
                            </w:r>
                          </w:p>
                        </w:txbxContent>
                      </v:textbox>
                    </v:shape>
                  </w:pict>
                </mc:Fallback>
              </mc:AlternateContent>
            </w:r>
            <w:r>
              <w:rPr>
                <w:color w:val="FF0000"/>
                <w:sz w:val="24"/>
              </w:rPr>
              <mc:AlternateContent>
                <mc:Choice Requires="wps">
                  <w:drawing>
                    <wp:anchor distT="0" distB="0" distL="114300" distR="114300" simplePos="0" relativeHeight="251667456" behindDoc="0" locked="0" layoutInCell="1" allowOverlap="1">
                      <wp:simplePos x="0" y="0"/>
                      <wp:positionH relativeFrom="column">
                        <wp:posOffset>222885</wp:posOffset>
                      </wp:positionH>
                      <wp:positionV relativeFrom="paragraph">
                        <wp:posOffset>10795</wp:posOffset>
                      </wp:positionV>
                      <wp:extent cx="2257425" cy="285750"/>
                      <wp:effectExtent l="0" t="0" r="9525" b="0"/>
                      <wp:wrapNone/>
                      <wp:docPr id="17" name="Text Box 52"/>
                      <wp:cNvGraphicFramePr/>
                      <a:graphic xmlns:a="http://schemas.openxmlformats.org/drawingml/2006/main">
                        <a:graphicData uri="http://schemas.microsoft.com/office/word/2010/wordprocessingShape">
                          <wps:wsp>
                            <wps:cNvSpPr txBox="1">
                              <a:spLocks noChangeArrowheads="1"/>
                            </wps:cNvSpPr>
                            <wps:spPr bwMode="auto">
                              <a:xfrm>
                                <a:off x="0" y="0"/>
                                <a:ext cx="2257425" cy="285750"/>
                              </a:xfrm>
                              <a:prstGeom prst="rect">
                                <a:avLst/>
                              </a:prstGeom>
                              <a:solidFill>
                                <a:srgbClr val="FFFFFF"/>
                              </a:solidFill>
                              <a:ln>
                                <a:noFill/>
                              </a:ln>
                              <a:effectLst/>
                            </wps:spPr>
                            <wps:txbx>
                              <w:txbxContent>
                                <w:p>
                                  <w:pPr>
                                    <w:jc w:val="center"/>
                                    <w:rPr>
                                      <w:b/>
                                    </w:rPr>
                                  </w:pPr>
                                  <w:r>
                                    <w:rPr>
                                      <w:rFonts w:hint="eastAsia"/>
                                      <w:b/>
                                    </w:rPr>
                                    <w:t>图7-7水工保护2</w:t>
                                  </w:r>
                                </w:p>
                              </w:txbxContent>
                            </wps:txbx>
                            <wps:bodyPr rot="0" vert="horz" wrap="square" lIns="91440" tIns="45720" rIns="91440" bIns="45720" anchor="t" anchorCtr="0" upright="1">
                              <a:noAutofit/>
                            </wps:bodyPr>
                          </wps:wsp>
                        </a:graphicData>
                      </a:graphic>
                    </wp:anchor>
                  </w:drawing>
                </mc:Choice>
                <mc:Fallback>
                  <w:pict>
                    <v:shape id="Text Box 52" o:spid="_x0000_s1026" o:spt="202" type="#_x0000_t202" style="position:absolute;left:0pt;margin-left:17.55pt;margin-top:0.85pt;height:22.5pt;width:177.75pt;z-index:251667456;mso-width-relative:page;mso-height-relative:page;" fillcolor="#FFFFFF" filled="t" stroked="f" coordsize="21600,21600" o:gfxdata="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PGSimrUAAAA&#10;BwEAAA8AAAAAAAAAAQAgAAAAIgAAAGRycy9kb3ducmV2LnhtbFBLAQIUABQAAAAIAIdO4kBmWIHn&#10;IQIAAE0EAAAOAAAAAAAAAAEAIAAAACMBAABkcnMvZTJvRG9jLnhtbFBLBQYAAAAABgAGAFkBAAC2&#10;BQAAAAA=&#10;">
                      <v:fill on="t" focussize="0,0"/>
                      <v:stroke on="f"/>
                      <v:imagedata o:title=""/>
                      <o:lock v:ext="edit" aspectratio="f"/>
                      <v:textbox>
                        <w:txbxContent>
                          <w:p>
                            <w:pPr>
                              <w:jc w:val="center"/>
                              <w:rPr>
                                <w:b/>
                              </w:rPr>
                            </w:pPr>
                            <w:r>
                              <w:rPr>
                                <w:rFonts w:hint="eastAsia"/>
                                <w:b/>
                              </w:rPr>
                              <w:t>图7-7水工保护2</w:t>
                            </w:r>
                          </w:p>
                        </w:txbxContent>
                      </v:textbox>
                    </v:shape>
                  </w:pict>
                </mc:Fallback>
              </mc:AlternateContent>
            </w:r>
          </w:p>
          <w:p>
            <w:pPr>
              <w:pStyle w:val="43"/>
              <w:adjustRightInd w:val="0"/>
              <w:snapToGrid w:val="0"/>
              <w:spacing w:line="460" w:lineRule="exact"/>
              <w:ind w:firstLine="480" w:firstLineChars="0"/>
              <w:rPr>
                <w:bCs w:val="0"/>
                <w:color w:val="FF0000"/>
                <w:sz w:val="24"/>
                <w:szCs w:val="24"/>
              </w:rPr>
            </w:pPr>
          </w:p>
          <w:p>
            <w:pPr>
              <w:widowControl/>
              <w:jc w:val="left"/>
              <w:rPr>
                <w:rFonts w:ascii="宋体" w:hAnsi="宋体" w:cs="宋体"/>
                <w:kern w:val="0"/>
                <w:sz w:val="24"/>
              </w:rPr>
            </w:pPr>
          </w:p>
          <w:p>
            <w:pPr>
              <w:pStyle w:val="43"/>
              <w:adjustRightInd w:val="0"/>
              <w:snapToGrid w:val="0"/>
              <w:spacing w:line="460" w:lineRule="exact"/>
              <w:ind w:firstLine="480" w:firstLineChars="0"/>
              <w:rPr>
                <w:bCs w:val="0"/>
                <w:color w:val="FF0000"/>
                <w:sz w:val="24"/>
                <w:szCs w:val="24"/>
              </w:rPr>
            </w:pPr>
            <w:r>
              <w:rPr>
                <w:bCs w:val="0"/>
                <w:color w:val="FF0000"/>
                <w:sz w:val="24"/>
                <w:szCs w:val="24"/>
              </w:rPr>
              <mc:AlternateContent>
                <mc:Choice Requires="wps">
                  <w:drawing>
                    <wp:anchor distT="0" distB="0" distL="114300" distR="114300" simplePos="0" relativeHeight="251676672" behindDoc="0" locked="0" layoutInCell="1" allowOverlap="1">
                      <wp:simplePos x="0" y="0"/>
                      <wp:positionH relativeFrom="column">
                        <wp:posOffset>1186180</wp:posOffset>
                      </wp:positionH>
                      <wp:positionV relativeFrom="paragraph">
                        <wp:posOffset>0</wp:posOffset>
                      </wp:positionV>
                      <wp:extent cx="135890" cy="676275"/>
                      <wp:effectExtent l="13970" t="2540" r="21590" b="6985"/>
                      <wp:wrapNone/>
                      <wp:docPr id="26" name="直接连接符 9"/>
                      <wp:cNvGraphicFramePr/>
                      <a:graphic xmlns:a="http://schemas.openxmlformats.org/drawingml/2006/main">
                        <a:graphicData uri="http://schemas.microsoft.com/office/word/2010/wordprocessingShape">
                          <wps:wsp>
                            <wps:cNvSpPr/>
                            <wps:spPr>
                              <a:xfrm flipV="1">
                                <a:off x="0" y="0"/>
                                <a:ext cx="135890" cy="676275"/>
                              </a:xfrm>
                              <a:prstGeom prst="line">
                                <a:avLst/>
                              </a:prstGeom>
                              <a:ln w="28575" cap="flat" cmpd="sng">
                                <a:solidFill>
                                  <a:srgbClr val="FF0000"/>
                                </a:solidFill>
                                <a:prstDash val="solid"/>
                                <a:miter/>
                                <a:headEnd type="none" w="med" len="med"/>
                                <a:tailEnd type="none" w="med" len="med"/>
                              </a:ln>
                            </wps:spPr>
                            <wps:bodyPr upright="1"/>
                          </wps:wsp>
                        </a:graphicData>
                      </a:graphic>
                    </wp:anchor>
                  </w:drawing>
                </mc:Choice>
                <mc:Fallback>
                  <w:pict>
                    <v:line id="直接连接符 9" o:spid="_x0000_s1026" o:spt="20" style="position:absolute;left:0pt;flip:y;margin-left:93.4pt;margin-top:0pt;height:53.25pt;width:10.7pt;z-index:251676672;mso-width-relative:margin;mso-height-relative:margin;" filled="f" stroked="t"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">
                      <v:fill on="f" focussize="0,0"/>
                      <v:stroke weight="2.25pt" color="#FF0000" joinstyle="miter"/>
                      <v:imagedata o:title=""/>
                      <o:lock v:ext="edit" aspectratio="f"/>
                    </v:line>
                  </w:pict>
                </mc:Fallback>
              </mc:AlternateContent>
            </w:r>
            <w:r>
              <w:rPr>
                <w:bCs w:val="0"/>
                <w:color w:val="FF0000"/>
                <w:sz w:val="24"/>
                <w:szCs w:val="24"/>
              </w:rPr>
              <mc:AlternateContent>
                <mc:Choice Requires="wps">
                  <w:drawing>
                    <wp:anchor distT="0" distB="0" distL="114300" distR="114300" simplePos="0" relativeHeight="251675648" behindDoc="0" locked="0" layoutInCell="1" allowOverlap="1">
                      <wp:simplePos x="0" y="0"/>
                      <wp:positionH relativeFrom="column">
                        <wp:posOffset>3145790</wp:posOffset>
                      </wp:positionH>
                      <wp:positionV relativeFrom="paragraph">
                        <wp:posOffset>47625</wp:posOffset>
                      </wp:positionV>
                      <wp:extent cx="1630045" cy="142875"/>
                      <wp:effectExtent l="1270" t="13970" r="6985" b="14605"/>
                      <wp:wrapNone/>
                      <wp:docPr id="23" name="直接连接符 8"/>
                      <wp:cNvGraphicFramePr/>
                      <a:graphic xmlns:a="http://schemas.openxmlformats.org/drawingml/2006/main">
                        <a:graphicData uri="http://schemas.microsoft.com/office/word/2010/wordprocessingShape">
                          <wps:wsp>
                            <wps:cNvCnPr/>
                            <wps:spPr>
                              <a:xfrm flipV="1">
                                <a:off x="0" y="0"/>
                                <a:ext cx="800100" cy="941705"/>
                              </a:xfrm>
                              <a:prstGeom prst="line">
                                <a:avLst/>
                              </a:prstGeom>
                              <a:ln w="28575">
                                <a:solidFill>
                                  <a:srgbClr val="FF0000"/>
                                </a:solidFill>
                              </a:ln>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8" o:spid="_x0000_s1026" o:spt="20" style="position:absolute;left:0pt;flip:y;margin-left:247.7pt;margin-top:3.75pt;height:11.25pt;width:128.35pt;z-index:251675648;mso-width-relative:margin;mso-height-relative:margin;" filled="f" stroked="t" coordsize="21600,21600" o:gfxdata="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j/4gVNoAAAAIAQAADwAAAAAAAAABACAAAAAiAAAAZHJzL2Rvd25yZXYueG1s&#10;UEsBAhQAFAAAAAgAh07iQB8E6LH2AQAAzwMAAA4AAAAAAAAAAQAgAAAAKQEAAGRycy9lMm9Eb2Mu&#10;eG1sUEsFBgAAAAAGAAYAWQEAAJEFAAAAAA==&#10;">
                      <v:fill on="f" focussize="0,0"/>
                      <v:stroke weight="2.25pt" color="#FF0000 [3204]" miterlimit="8" joinstyle="miter"/>
                      <v:imagedata o:title=""/>
                      <o:lock v:ext="edit" aspectratio="f"/>
                    </v:line>
                  </w:pict>
                </mc:Fallback>
              </mc:AlternateContent>
            </w:r>
          </w:p>
          <w:p>
            <w:pPr>
              <w:pStyle w:val="43"/>
              <w:adjustRightInd w:val="0"/>
              <w:snapToGrid w:val="0"/>
              <w:spacing w:line="460" w:lineRule="exact"/>
              <w:ind w:firstLine="480" w:firstLineChars="0"/>
              <w:rPr>
                <w:bCs w:val="0"/>
                <w:color w:val="FF0000"/>
                <w:sz w:val="24"/>
                <w:szCs w:val="24"/>
              </w:rPr>
            </w:pPr>
          </w:p>
          <w:p>
            <w:pPr>
              <w:pStyle w:val="43"/>
              <w:adjustRightInd w:val="0"/>
              <w:snapToGrid w:val="0"/>
              <w:spacing w:line="460" w:lineRule="exact"/>
              <w:ind w:firstLine="0" w:firstLineChars="0"/>
              <w:rPr>
                <w:bCs w:val="0"/>
                <w:color w:val="FF0000"/>
                <w:sz w:val="24"/>
                <w:szCs w:val="24"/>
              </w:rPr>
            </w:pPr>
          </w:p>
          <w:p>
            <w:pPr>
              <w:pStyle w:val="43"/>
              <w:adjustRightInd w:val="0"/>
              <w:snapToGrid w:val="0"/>
              <w:spacing w:line="460" w:lineRule="exact"/>
              <w:ind w:firstLine="0" w:firstLineChars="0"/>
              <w:rPr>
                <w:bCs w:val="0"/>
                <w:color w:val="FF0000"/>
                <w:sz w:val="24"/>
                <w:szCs w:val="24"/>
              </w:rPr>
            </w:pPr>
            <w:r>
              <w:rPr>
                <w:color w:val="FF0000"/>
                <w:sz w:val="24"/>
              </w:rPr>
              <mc:AlternateContent>
                <mc:Choice Requires="wps">
                  <w:drawing>
                    <wp:anchor distT="0" distB="0" distL="114300" distR="114300" simplePos="0" relativeHeight="251669504" behindDoc="0" locked="0" layoutInCell="1" allowOverlap="1">
                      <wp:simplePos x="0" y="0"/>
                      <wp:positionH relativeFrom="column">
                        <wp:posOffset>222885</wp:posOffset>
                      </wp:positionH>
                      <wp:positionV relativeFrom="paragraph">
                        <wp:posOffset>257175</wp:posOffset>
                      </wp:positionV>
                      <wp:extent cx="2457450" cy="285750"/>
                      <wp:effectExtent l="0" t="0" r="0" b="0"/>
                      <wp:wrapNone/>
                      <wp:docPr id="60" name="Text Box 46"/>
                      <wp:cNvGraphicFramePr/>
                      <a:graphic xmlns:a="http://schemas.openxmlformats.org/drawingml/2006/main">
                        <a:graphicData uri="http://schemas.microsoft.com/office/word/2010/wordprocessingShape">
                          <wps:wsp>
                            <wps:cNvSpPr txBox="1">
                              <a:spLocks noChangeArrowheads="1"/>
                            </wps:cNvSpPr>
                            <wps:spPr bwMode="auto">
                              <a:xfrm>
                                <a:off x="0" y="0"/>
                                <a:ext cx="2352675" cy="285750"/>
                              </a:xfrm>
                              <a:prstGeom prst="rect">
                                <a:avLst/>
                              </a:prstGeom>
                              <a:solidFill>
                                <a:srgbClr val="FFFFFF"/>
                              </a:solidFill>
                              <a:ln>
                                <a:noFill/>
                              </a:ln>
                              <a:effectLst/>
                            </wps:spPr>
                            <wps:txbx>
                              <w:txbxContent>
                                <w:p>
                                  <w:pPr>
                                    <w:jc w:val="center"/>
                                    <w:rPr>
                                      <w:b/>
                                    </w:rPr>
                                  </w:pPr>
                                  <w:r>
                                    <w:rPr>
                                      <w:rFonts w:hint="eastAsia"/>
                                      <w:b/>
                                    </w:rPr>
                                    <w:t>图7-</w:t>
                                  </w:r>
                                  <w:r>
                                    <w:rPr>
                                      <w:b/>
                                    </w:rPr>
                                    <w:t>9</w:t>
                                  </w:r>
                                  <w:r>
                                    <w:rPr>
                                      <w:rFonts w:hint="eastAsia"/>
                                      <w:b/>
                                    </w:rPr>
                                    <w:t>管道穿越五保高速匝道恢复情况</w:t>
                                  </w:r>
                                </w:p>
                              </w:txbxContent>
                            </wps:txbx>
                            <wps:bodyPr rot="0" vert="horz" wrap="square" lIns="91440" tIns="45720" rIns="91440" bIns="45720" anchor="t" anchorCtr="0" upright="1">
                              <a:noAutofit/>
                            </wps:bodyPr>
                          </wps:wsp>
                        </a:graphicData>
                      </a:graphic>
                    </wp:anchor>
                  </w:drawing>
                </mc:Choice>
                <mc:Fallback>
                  <w:pict>
                    <v:shape id="Text Box 46" o:spid="_x0000_s1026" o:spt="202" type="#_x0000_t202" style="position:absolute;left:0pt;margin-left:17.55pt;margin-top:20.25pt;height:22.5pt;width:193.5pt;z-index:251669504;mso-width-relative:page;mso-height-relative:page;" fillcolor="#FFFFFF" filled="t" stroked="f" coordsize="21600,21600" o:gfxdata="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YkkV&#10;f9cAAAAIAQAADwAAAAAAAAABACAAAAAiAAAAZHJzL2Rvd25yZXYueG1sUEsBAhQAFAAAAAgAh07i&#10;QBOCxHsjAgAATQQAAA4AAAAAAAAAAQAgAAAAJgEAAGRycy9lMm9Eb2MueG1sUEsFBgAAAAAGAAYA&#10;WQEAALsFAAAAAA==&#10;">
                      <v:fill on="t" focussize="0,0"/>
                      <v:stroke on="f"/>
                      <v:imagedata o:title=""/>
                      <o:lock v:ext="edit" aspectratio="f"/>
                      <v:textbox>
                        <w:txbxContent>
                          <w:p>
                            <w:pPr>
                              <w:jc w:val="center"/>
                              <w:rPr>
                                <w:b/>
                              </w:rPr>
                            </w:pPr>
                            <w:r>
                              <w:rPr>
                                <w:rFonts w:hint="eastAsia"/>
                                <w:b/>
                              </w:rPr>
                              <w:t>图7-</w:t>
                            </w:r>
                            <w:r>
                              <w:rPr>
                                <w:b/>
                              </w:rPr>
                              <w:t>9</w:t>
                            </w:r>
                            <w:r>
                              <w:rPr>
                                <w:rFonts w:hint="eastAsia"/>
                                <w:b/>
                              </w:rPr>
                              <w:t>管道穿越五保高速匝道恢复情况</w:t>
                            </w:r>
                          </w:p>
                        </w:txbxContent>
                      </v:textbox>
                    </v:shape>
                  </w:pict>
                </mc:Fallback>
              </mc:AlternateContent>
            </w:r>
            <w:r>
              <w:rPr>
                <w:color w:val="FF0000"/>
                <w:sz w:val="24"/>
              </w:rPr>
              <mc:AlternateContent>
                <mc:Choice Requires="wps">
                  <w:drawing>
                    <wp:anchor distT="0" distB="0" distL="114300" distR="114300" simplePos="0" relativeHeight="251663360" behindDoc="0" locked="0" layoutInCell="1" allowOverlap="1">
                      <wp:simplePos x="0" y="0"/>
                      <wp:positionH relativeFrom="column">
                        <wp:posOffset>2843530</wp:posOffset>
                      </wp:positionH>
                      <wp:positionV relativeFrom="paragraph">
                        <wp:posOffset>257175</wp:posOffset>
                      </wp:positionV>
                      <wp:extent cx="2604770" cy="285750"/>
                      <wp:effectExtent l="0" t="0" r="5080" b="0"/>
                      <wp:wrapNone/>
                      <wp:docPr id="15" name="Text Box 44"/>
                      <wp:cNvGraphicFramePr/>
                      <a:graphic xmlns:a="http://schemas.openxmlformats.org/drawingml/2006/main">
                        <a:graphicData uri="http://schemas.microsoft.com/office/word/2010/wordprocessingShape">
                          <wps:wsp>
                            <wps:cNvSpPr txBox="1">
                              <a:spLocks noChangeArrowheads="1"/>
                            </wps:cNvSpPr>
                            <wps:spPr bwMode="auto">
                              <a:xfrm>
                                <a:off x="0" y="0"/>
                                <a:ext cx="2400300" cy="285750"/>
                              </a:xfrm>
                              <a:prstGeom prst="rect">
                                <a:avLst/>
                              </a:prstGeom>
                              <a:solidFill>
                                <a:srgbClr val="FFFFFF"/>
                              </a:solidFill>
                              <a:ln>
                                <a:noFill/>
                              </a:ln>
                              <a:effectLst/>
                            </wps:spPr>
                            <wps:txbx>
                              <w:txbxContent>
                                <w:p>
                                  <w:pPr>
                                    <w:jc w:val="center"/>
                                    <w:rPr>
                                      <w:b/>
                                    </w:rPr>
                                  </w:pPr>
                                  <w:r>
                                    <w:rPr>
                                      <w:rFonts w:hint="eastAsia"/>
                                      <w:b/>
                                    </w:rPr>
                                    <w:t>图7-10管道穿越五保高速</w:t>
                                  </w:r>
                                  <w:r>
                                    <w:rPr>
                                      <w:rFonts w:hint="eastAsia"/>
                                      <w:b/>
                                      <w:lang w:val="en-US" w:eastAsia="zh-CN"/>
                                    </w:rPr>
                                    <w:t>匝道</w:t>
                                  </w:r>
                                  <w:r>
                                    <w:rPr>
                                      <w:rFonts w:hint="eastAsia"/>
                                      <w:b/>
                                    </w:rPr>
                                    <w:t>恢复情况</w:t>
                                  </w:r>
                                </w:p>
                              </w:txbxContent>
                            </wps:txbx>
                            <wps:bodyPr rot="0" vert="horz" wrap="square" lIns="91440" tIns="45720" rIns="91440" bIns="45720" anchor="t" anchorCtr="0" upright="1">
                              <a:noAutofit/>
                            </wps:bodyPr>
                          </wps:wsp>
                        </a:graphicData>
                      </a:graphic>
                    </wp:anchor>
                  </w:drawing>
                </mc:Choice>
                <mc:Fallback>
                  <w:pict>
                    <v:shape id="Text Box 44" o:spid="_x0000_s1026" o:spt="202" type="#_x0000_t202" style="position:absolute;left:0pt;margin-left:223.9pt;margin-top:20.25pt;height:22.5pt;width:205.1pt;z-index:251663360;mso-width-relative:page;mso-height-relative:page;" fillcolor="#FFFFFF" filled="t" stroked="f" coordsize="21600,21600" o:gfxdata="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GqieetYA&#10;AAAJAQAADwAAAAAAAAABACAAAAAiAAAAZHJzL2Rvd25yZXYueG1sUEsBAhQAFAAAAAgAh07iQOGN&#10;m2AhAgAATQQAAA4AAAAAAAAAAQAgAAAAJQEAAGRycy9lMm9Eb2MueG1sUEsFBgAAAAAGAAYAWQEA&#10;ALgFAAAAAA==&#10;">
                      <v:fill on="t" focussize="0,0"/>
                      <v:stroke on="f"/>
                      <v:imagedata o:title=""/>
                      <o:lock v:ext="edit" aspectratio="f"/>
                      <v:textbox>
                        <w:txbxContent>
                          <w:p>
                            <w:pPr>
                              <w:jc w:val="center"/>
                              <w:rPr>
                                <w:b/>
                              </w:rPr>
                            </w:pPr>
                            <w:r>
                              <w:rPr>
                                <w:rFonts w:hint="eastAsia"/>
                                <w:b/>
                              </w:rPr>
                              <w:t>图7-10管道穿越五保高速</w:t>
                            </w:r>
                            <w:r>
                              <w:rPr>
                                <w:rFonts w:hint="eastAsia"/>
                                <w:b/>
                                <w:lang w:val="en-US" w:eastAsia="zh-CN"/>
                              </w:rPr>
                              <w:t>匝道</w:t>
                            </w:r>
                            <w:r>
                              <w:rPr>
                                <w:rFonts w:hint="eastAsia"/>
                                <w:b/>
                              </w:rPr>
                              <w:t>恢复情况</w:t>
                            </w:r>
                          </w:p>
                        </w:txbxContent>
                      </v:textbox>
                    </v:shape>
                  </w:pict>
                </mc:Fallback>
              </mc:AlternateContent>
            </w:r>
          </w:p>
          <w:p>
            <w:pPr>
              <w:pStyle w:val="43"/>
              <w:adjustRightInd w:val="0"/>
              <w:snapToGrid w:val="0"/>
              <w:spacing w:line="460" w:lineRule="exact"/>
              <w:ind w:firstLine="0" w:firstLineChars="0"/>
              <w:rPr>
                <w:bCs w:val="0"/>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3" w:hRule="atLeast"/>
        </w:trPr>
        <w:tc>
          <w:tcPr>
            <w:tcW w:w="468" w:type="dxa"/>
            <w:vAlign w:val="center"/>
          </w:tcPr>
          <w:p>
            <w:pPr>
              <w:jc w:val="center"/>
              <w:rPr>
                <w:sz w:val="24"/>
              </w:rPr>
            </w:pPr>
            <w:r>
              <w:rPr>
                <w:sz w:val="24"/>
              </w:rPr>
              <w:t>运</w:t>
            </w:r>
          </w:p>
          <w:p>
            <w:pPr>
              <w:jc w:val="center"/>
              <w:rPr>
                <w:sz w:val="24"/>
              </w:rPr>
            </w:pPr>
            <w:r>
              <w:rPr>
                <w:sz w:val="24"/>
              </w:rPr>
              <w:t>营</w:t>
            </w:r>
          </w:p>
          <w:p>
            <w:pPr>
              <w:jc w:val="center"/>
              <w:rPr>
                <w:sz w:val="24"/>
              </w:rPr>
            </w:pPr>
            <w:r>
              <w:rPr>
                <w:sz w:val="24"/>
              </w:rPr>
              <w:t>期</w:t>
            </w:r>
          </w:p>
          <w:p>
            <w:pPr>
              <w:jc w:val="center"/>
              <w:rPr>
                <w:sz w:val="24"/>
              </w:rPr>
            </w:pPr>
            <w:r>
              <w:rPr>
                <w:sz w:val="24"/>
              </w:rPr>
              <w:t>污</w:t>
            </w:r>
          </w:p>
          <w:p>
            <w:pPr>
              <w:jc w:val="center"/>
              <w:rPr>
                <w:sz w:val="24"/>
              </w:rPr>
            </w:pPr>
            <w:r>
              <w:rPr>
                <w:sz w:val="24"/>
              </w:rPr>
              <w:t>染</w:t>
            </w:r>
          </w:p>
          <w:p>
            <w:pPr>
              <w:jc w:val="center"/>
              <w:rPr>
                <w:sz w:val="24"/>
              </w:rPr>
            </w:pPr>
            <w:r>
              <w:rPr>
                <w:sz w:val="24"/>
              </w:rPr>
              <w:t>影</w:t>
            </w:r>
          </w:p>
          <w:p>
            <w:pPr>
              <w:jc w:val="center"/>
              <w:rPr>
                <w:color w:val="FF0000"/>
                <w:sz w:val="24"/>
              </w:rPr>
            </w:pPr>
            <w:r>
              <w:rPr>
                <w:sz w:val="24"/>
              </w:rPr>
              <w:t>响</w:t>
            </w:r>
          </w:p>
        </w:tc>
        <w:tc>
          <w:tcPr>
            <w:tcW w:w="8932" w:type="dxa"/>
          </w:tcPr>
          <w:p>
            <w:pPr>
              <w:adjustRightInd w:val="0"/>
              <w:snapToGrid w:val="0"/>
              <w:spacing w:line="460" w:lineRule="exact"/>
              <w:ind w:firstLine="480" w:firstLineChars="200"/>
              <w:rPr>
                <w:bCs/>
                <w:sz w:val="24"/>
                <w:szCs w:val="28"/>
              </w:rPr>
            </w:pPr>
            <w:r>
              <w:rPr>
                <w:bCs/>
                <w:sz w:val="24"/>
                <w:szCs w:val="28"/>
              </w:rPr>
              <w:t>1、环境空气</w:t>
            </w:r>
          </w:p>
          <w:p>
            <w:pPr>
              <w:adjustRightInd w:val="0"/>
              <w:snapToGrid w:val="0"/>
              <w:spacing w:line="460" w:lineRule="exact"/>
              <w:ind w:firstLine="480" w:firstLineChars="200"/>
              <w:rPr>
                <w:bCs/>
                <w:sz w:val="24"/>
                <w:szCs w:val="28"/>
              </w:rPr>
            </w:pPr>
            <w:r>
              <w:rPr>
                <w:bCs/>
                <w:sz w:val="24"/>
                <w:szCs w:val="28"/>
              </w:rPr>
              <w:t>经调查，工程建成投入运行后，由于天然气为密闭输送，在正常运行情况下无生产废气产生，对管道沿线环境没有影响，其影响发生在事故情况下，如管线泄漏或发生爆炸事故，则可能对周围环境造成一定影响。本管线设有自控监测系统以及专门巡线人员，如管道发生异常情况，可及时报警，并采取关闭截断阀门、组织人员进行抢修等措施，能有效预防事故的发生或减小事故产生的影响。上述各种环境影响具有暂时性，在人工干预、自然生态恢复调节下会在一段时间内逐渐消失。</w:t>
            </w:r>
          </w:p>
          <w:p>
            <w:pPr>
              <w:adjustRightInd w:val="0"/>
              <w:snapToGrid w:val="0"/>
              <w:spacing w:line="460" w:lineRule="exact"/>
              <w:ind w:firstLine="480" w:firstLineChars="200"/>
              <w:rPr>
                <w:bCs/>
                <w:sz w:val="24"/>
                <w:szCs w:val="28"/>
              </w:rPr>
            </w:pPr>
            <w:r>
              <w:rPr>
                <w:bCs/>
                <w:sz w:val="24"/>
                <w:szCs w:val="28"/>
              </w:rPr>
              <w:t>运营期间的废气主要为非正常工况下排放的天然气，如在检修（清管作业、分离器除尘）或系统超压时会有一定量的天然气（1-2次/年）从站场排放。非正常工况下排放的天然气通过站外</w:t>
            </w:r>
            <w:r>
              <w:rPr>
                <w:rFonts w:hint="eastAsia"/>
                <w:bCs/>
                <w:sz w:val="24"/>
                <w:szCs w:val="28"/>
              </w:rPr>
              <w:t>2</w:t>
            </w:r>
            <w:r>
              <w:rPr>
                <w:bCs/>
                <w:sz w:val="24"/>
                <w:szCs w:val="28"/>
              </w:rPr>
              <w:t>5m高的放空火炬燃烧后排放，采用点火放空方式。运营期对大气环境影响很小。</w:t>
            </w:r>
          </w:p>
          <w:p>
            <w:pPr>
              <w:spacing w:line="460" w:lineRule="exact"/>
              <w:ind w:firstLine="480" w:firstLineChars="200"/>
              <w:rPr>
                <w:bCs/>
                <w:sz w:val="24"/>
                <w:szCs w:val="28"/>
              </w:rPr>
            </w:pPr>
            <w:r>
              <w:rPr>
                <w:bCs/>
                <w:sz w:val="24"/>
                <w:szCs w:val="28"/>
              </w:rPr>
              <w:t>2、水环境影响调查</w:t>
            </w:r>
          </w:p>
          <w:p>
            <w:pPr>
              <w:spacing w:line="460" w:lineRule="exact"/>
              <w:ind w:firstLine="480" w:firstLineChars="200"/>
              <w:rPr>
                <w:bCs/>
                <w:sz w:val="24"/>
                <w:szCs w:val="28"/>
              </w:rPr>
            </w:pPr>
            <w:r>
              <w:rPr>
                <w:bCs/>
                <w:sz w:val="24"/>
                <w:szCs w:val="28"/>
              </w:rPr>
              <w:t>本工程运营期间</w:t>
            </w:r>
            <w:r>
              <w:rPr>
                <w:rFonts w:hint="eastAsia"/>
                <w:bCs/>
                <w:sz w:val="24"/>
                <w:szCs w:val="28"/>
              </w:rPr>
              <w:t>废水</w:t>
            </w:r>
            <w:r>
              <w:rPr>
                <w:bCs/>
                <w:sz w:val="24"/>
                <w:szCs w:val="28"/>
              </w:rPr>
              <w:t>主要是设备擦拭废水</w:t>
            </w:r>
            <w:r>
              <w:rPr>
                <w:rFonts w:hint="eastAsia"/>
                <w:bCs/>
                <w:sz w:val="24"/>
                <w:szCs w:val="28"/>
              </w:rPr>
              <w:t>和</w:t>
            </w:r>
            <w:r>
              <w:rPr>
                <w:bCs/>
                <w:sz w:val="24"/>
                <w:szCs w:val="28"/>
              </w:rPr>
              <w:t>检修废水</w:t>
            </w:r>
            <w:r>
              <w:rPr>
                <w:rFonts w:hint="eastAsia"/>
                <w:bCs/>
                <w:sz w:val="24"/>
                <w:szCs w:val="28"/>
              </w:rPr>
              <w:t>。保德首站的</w:t>
            </w:r>
            <w:r>
              <w:rPr>
                <w:bCs/>
                <w:sz w:val="24"/>
                <w:szCs w:val="28"/>
              </w:rPr>
              <w:t>擦拭废水</w:t>
            </w:r>
            <w:r>
              <w:rPr>
                <w:rFonts w:hint="eastAsia"/>
                <w:bCs/>
                <w:sz w:val="24"/>
                <w:szCs w:val="28"/>
              </w:rPr>
              <w:t>，检修废水进入站场排污池，</w:t>
            </w:r>
            <w:r>
              <w:rPr>
                <w:bCs/>
                <w:sz w:val="24"/>
                <w:szCs w:val="28"/>
              </w:rPr>
              <w:t>不</w:t>
            </w:r>
            <w:r>
              <w:rPr>
                <w:rFonts w:hint="eastAsia"/>
                <w:bCs/>
                <w:sz w:val="24"/>
                <w:szCs w:val="28"/>
              </w:rPr>
              <w:t>外排，对周围水环境影响较小。</w:t>
            </w:r>
          </w:p>
          <w:p>
            <w:pPr>
              <w:spacing w:line="460" w:lineRule="exact"/>
              <w:ind w:firstLine="480" w:firstLineChars="200"/>
              <w:rPr>
                <w:bCs/>
                <w:sz w:val="24"/>
                <w:szCs w:val="28"/>
              </w:rPr>
            </w:pPr>
            <w:r>
              <w:rPr>
                <w:rFonts w:hint="eastAsia"/>
                <w:bCs/>
                <w:sz w:val="24"/>
                <w:szCs w:val="28"/>
              </w:rPr>
              <w:t>保德首站不新增工作人员，无新增生活污水产生。</w:t>
            </w:r>
          </w:p>
          <w:p>
            <w:pPr>
              <w:pStyle w:val="26"/>
              <w:spacing w:after="0" w:line="460" w:lineRule="exact"/>
              <w:ind w:left="0" w:leftChars="0" w:firstLine="480" w:firstLineChars="200"/>
              <w:rPr>
                <w:bCs/>
                <w:sz w:val="24"/>
                <w:szCs w:val="28"/>
              </w:rPr>
            </w:pPr>
            <w:r>
              <w:rPr>
                <w:bCs/>
                <w:sz w:val="24"/>
                <w:szCs w:val="28"/>
              </w:rPr>
              <w:t>管道采用了外防腐层和强制电流阴极保护联合方式</w:t>
            </w:r>
            <w:r>
              <w:rPr>
                <w:rFonts w:hint="eastAsia"/>
                <w:bCs/>
                <w:sz w:val="24"/>
                <w:szCs w:val="28"/>
              </w:rPr>
              <w:t>，</w:t>
            </w:r>
            <w:r>
              <w:rPr>
                <w:bCs/>
                <w:sz w:val="24"/>
                <w:szCs w:val="28"/>
              </w:rPr>
              <w:t>正常运营期对穿越河流不会造成影响，对周边环境基本无任何影响。仅在发生泄漏事故的状态下，泄漏的天然气会经过地表水泄漏到大气中，会对大气环境造成一定的影响，天然气对水质的影响较小。</w:t>
            </w:r>
          </w:p>
          <w:p>
            <w:pPr>
              <w:spacing w:line="460" w:lineRule="exact"/>
              <w:ind w:firstLine="480" w:firstLineChars="200"/>
              <w:rPr>
                <w:bCs/>
                <w:sz w:val="24"/>
                <w:szCs w:val="28"/>
              </w:rPr>
            </w:pPr>
            <w:r>
              <w:rPr>
                <w:bCs/>
                <w:sz w:val="24"/>
                <w:szCs w:val="28"/>
              </w:rPr>
              <w:t>3、噪声环境影响调查</w:t>
            </w:r>
          </w:p>
          <w:p>
            <w:pPr>
              <w:pStyle w:val="86"/>
              <w:ind w:firstLine="480"/>
              <w:rPr>
                <w:rFonts w:cs="Times New Roman"/>
              </w:rPr>
            </w:pPr>
            <w:r>
              <w:rPr>
                <w:rFonts w:cs="Times New Roman"/>
              </w:rPr>
              <w:t>管道运营期噪声主要来自站场的机械设备。为降低噪声影响，本工程采取选用低噪声设备等降噪措施，以及在场站周围、工艺装置周围以及道路两旁进行了绿化，有效的降低噪声影响。</w:t>
            </w:r>
          </w:p>
          <w:p>
            <w:pPr>
              <w:pStyle w:val="86"/>
              <w:ind w:firstLine="480"/>
              <w:rPr>
                <w:rFonts w:hint="default" w:cs="Times New Roman"/>
                <w:lang w:val="en-US" w:eastAsia="zh-CN"/>
              </w:rPr>
            </w:pPr>
            <w:r>
              <w:rPr>
                <w:rFonts w:cs="Times New Roman"/>
              </w:rPr>
              <w:t>验收单位于201</w:t>
            </w:r>
            <w:r>
              <w:rPr>
                <w:rFonts w:hint="eastAsia" w:cs="Times New Roman"/>
              </w:rPr>
              <w:t>8</w:t>
            </w:r>
            <w:r>
              <w:rPr>
                <w:rFonts w:cs="Times New Roman"/>
              </w:rPr>
              <w:t>年</w:t>
            </w:r>
            <w:r>
              <w:rPr>
                <w:rFonts w:hint="eastAsia" w:cs="Times New Roman"/>
              </w:rPr>
              <w:t>7</w:t>
            </w:r>
            <w:r>
              <w:rPr>
                <w:rFonts w:cs="Times New Roman"/>
              </w:rPr>
              <w:t>月</w:t>
            </w:r>
            <w:r>
              <w:rPr>
                <w:rFonts w:hint="eastAsia" w:cs="Times New Roman"/>
              </w:rPr>
              <w:t>7</w:t>
            </w:r>
            <w:r>
              <w:rPr>
                <w:rFonts w:cs="Times New Roman"/>
              </w:rPr>
              <w:t>日—8日委托</w:t>
            </w:r>
            <w:r>
              <w:rPr>
                <w:rFonts w:hint="eastAsia" w:cs="Times New Roman"/>
              </w:rPr>
              <w:t>山西蓝天大地环境检测有限公司</w:t>
            </w:r>
            <w:r>
              <w:rPr>
                <w:rFonts w:cs="Times New Roman"/>
              </w:rPr>
              <w:t>对</w:t>
            </w:r>
            <w:r>
              <w:rPr>
                <w:rFonts w:hint="eastAsia" w:cs="Times New Roman"/>
                <w:lang w:val="en-US" w:eastAsia="zh-CN"/>
              </w:rPr>
              <w:t>保3集气站和保德首站</w:t>
            </w:r>
            <w:r>
              <w:rPr>
                <w:rFonts w:hint="eastAsia" w:cs="Times New Roman"/>
              </w:rPr>
              <w:t>场</w:t>
            </w:r>
            <w:r>
              <w:rPr>
                <w:rFonts w:cs="Times New Roman"/>
              </w:rPr>
              <w:t>界进行了为期</w:t>
            </w:r>
            <w:r>
              <w:rPr>
                <w:rFonts w:hint="eastAsia" w:cs="Times New Roman"/>
              </w:rPr>
              <w:t>两</w:t>
            </w:r>
            <w:r>
              <w:rPr>
                <w:rFonts w:cs="Times New Roman"/>
              </w:rPr>
              <w:t>天的监测</w:t>
            </w:r>
            <w:r>
              <w:rPr>
                <w:rFonts w:hint="eastAsia" w:cs="Times New Roman"/>
                <w:lang w:eastAsia="zh-CN"/>
              </w:rPr>
              <w:t>。</w:t>
            </w:r>
            <w:r>
              <w:rPr>
                <w:rFonts w:hint="eastAsia" w:cs="Times New Roman"/>
                <w:lang w:val="en-US" w:eastAsia="zh-CN"/>
              </w:rPr>
              <w:t>《山西天然气有限公司保德煤层气联络线输气管道工程项目竣工验收监测》内容包括保德首站，本项目与山西天然气有限公司《保德煤层气联络线输气管道工程项目》同场地，同时验收，故监测数据引用《山西天然气有限公司保德煤层气联络线输气管道工程项目竣工验收监测》报告。</w:t>
            </w:r>
          </w:p>
          <w:p>
            <w:pPr>
              <w:spacing w:line="460" w:lineRule="exact"/>
              <w:ind w:firstLine="480" w:firstLineChars="200"/>
              <w:rPr>
                <w:sz w:val="24"/>
              </w:rPr>
            </w:pPr>
            <w:r>
              <w:rPr>
                <w:bCs/>
                <w:sz w:val="24"/>
                <w:szCs w:val="28"/>
              </w:rPr>
              <w:t>根据监测结果，</w:t>
            </w:r>
            <w:r>
              <w:rPr>
                <w:rFonts w:hint="eastAsia"/>
                <w:sz w:val="24"/>
              </w:rPr>
              <w:t>保德首站</w:t>
            </w:r>
            <w:r>
              <w:rPr>
                <w:sz w:val="24"/>
              </w:rPr>
              <w:t>四周</w:t>
            </w:r>
            <w:r>
              <w:rPr>
                <w:rFonts w:hint="eastAsia"/>
                <w:sz w:val="24"/>
              </w:rPr>
              <w:t>昼夜</w:t>
            </w:r>
            <w:r>
              <w:rPr>
                <w:sz w:val="24"/>
              </w:rPr>
              <w:t>监测值</w:t>
            </w:r>
            <w:r>
              <w:rPr>
                <w:rFonts w:hint="eastAsia"/>
                <w:sz w:val="24"/>
              </w:rPr>
              <w:t>均</w:t>
            </w:r>
            <w:r>
              <w:rPr>
                <w:sz w:val="24"/>
              </w:rPr>
              <w:t>满足《工业企业厂界环境噪声排放标准》（GB12348-2008）中</w:t>
            </w:r>
            <w:r>
              <w:rPr>
                <w:rFonts w:hint="eastAsia"/>
                <w:sz w:val="24"/>
              </w:rPr>
              <w:t>2</w:t>
            </w:r>
            <w:r>
              <w:rPr>
                <w:sz w:val="24"/>
              </w:rPr>
              <w:t>类标准要求。</w:t>
            </w:r>
          </w:p>
          <w:p>
            <w:pPr>
              <w:pStyle w:val="26"/>
              <w:spacing w:after="0" w:line="460" w:lineRule="exact"/>
              <w:ind w:left="0" w:leftChars="0" w:firstLine="480" w:firstLineChars="200"/>
              <w:rPr>
                <w:bCs/>
                <w:sz w:val="24"/>
                <w:szCs w:val="28"/>
              </w:rPr>
            </w:pPr>
            <w:r>
              <w:rPr>
                <w:sz w:val="24"/>
                <w:szCs w:val="24"/>
              </w:rPr>
              <w:t>两日监测中</w:t>
            </w:r>
            <w:r>
              <w:rPr>
                <w:rFonts w:hint="eastAsia"/>
                <w:sz w:val="24"/>
                <w:szCs w:val="24"/>
              </w:rPr>
              <w:t>山头村昼夜</w:t>
            </w:r>
            <w:r>
              <w:rPr>
                <w:sz w:val="24"/>
                <w:szCs w:val="24"/>
              </w:rPr>
              <w:t>监测值</w:t>
            </w:r>
            <w:r>
              <w:rPr>
                <w:rFonts w:hint="eastAsia"/>
                <w:sz w:val="24"/>
                <w:szCs w:val="24"/>
              </w:rPr>
              <w:t>均</w:t>
            </w:r>
            <w:r>
              <w:rPr>
                <w:sz w:val="24"/>
                <w:szCs w:val="24"/>
              </w:rPr>
              <w:t>满足《声环境质量标准》（GB3096-2008）中</w:t>
            </w:r>
            <w:r>
              <w:rPr>
                <w:rFonts w:hint="eastAsia"/>
                <w:sz w:val="24"/>
                <w:szCs w:val="24"/>
                <w:lang w:val="en-US" w:eastAsia="zh-CN"/>
              </w:rPr>
              <w:t>2</w:t>
            </w:r>
            <w:r>
              <w:rPr>
                <w:rFonts w:hint="eastAsia"/>
                <w:sz w:val="24"/>
                <w:szCs w:val="24"/>
              </w:rPr>
              <w:t>类</w:t>
            </w:r>
            <w:r>
              <w:rPr>
                <w:sz w:val="24"/>
                <w:szCs w:val="24"/>
              </w:rPr>
              <w:t>标准要求。</w:t>
            </w:r>
          </w:p>
          <w:p>
            <w:pPr>
              <w:pStyle w:val="26"/>
              <w:spacing w:after="0" w:line="460" w:lineRule="exact"/>
              <w:ind w:left="0" w:leftChars="0" w:firstLine="480" w:firstLineChars="200"/>
              <w:rPr>
                <w:sz w:val="24"/>
                <w:szCs w:val="24"/>
              </w:rPr>
            </w:pPr>
            <w:r>
              <w:rPr>
                <w:sz w:val="24"/>
                <w:szCs w:val="24"/>
              </w:rPr>
              <w:t>4、固体废弃物影响分析</w:t>
            </w:r>
          </w:p>
          <w:p>
            <w:pPr>
              <w:pStyle w:val="86"/>
              <w:ind w:firstLine="480"/>
              <w:rPr>
                <w:color w:val="FF0000"/>
              </w:rPr>
            </w:pPr>
            <w:r>
              <w:t>运行期的固体废物主要是站场产生的检修废渣和废油（主要指分离器检修和收球清管时产生）等。</w:t>
            </w:r>
          </w:p>
          <w:p>
            <w:pPr>
              <w:pStyle w:val="86"/>
              <w:ind w:firstLine="480"/>
            </w:pPr>
            <w:r>
              <w:t>检修废渣主要成分为粉尘、氧化铁粉末</w:t>
            </w:r>
            <w:r>
              <w:rPr>
                <w:rFonts w:hint="eastAsia"/>
              </w:rPr>
              <w:t>，</w:t>
            </w:r>
            <w:r>
              <w:t>清管、检修废渣均集中收集。</w:t>
            </w:r>
            <w:r>
              <w:rPr>
                <w:rFonts w:hint="eastAsia"/>
                <w:lang w:val="en-US" w:eastAsia="zh-CN"/>
              </w:rPr>
              <w:t>本项目排放</w:t>
            </w:r>
            <w:r>
              <w:rPr>
                <w:rFonts w:hint="eastAsia"/>
              </w:rPr>
              <w:t>废油</w:t>
            </w:r>
            <w:r>
              <w:rPr>
                <w:rFonts w:hint="eastAsia"/>
                <w:lang w:val="en-US" w:eastAsia="zh-CN"/>
              </w:rPr>
              <w:t>为危险废物，根据国家危险废物名录，为HW09，产生量约为0.04kg/a，</w:t>
            </w:r>
            <w:r>
              <w:rPr>
                <w:rFonts w:hint="default" w:ascii="Times New Roman" w:hAnsi="Times New Roman" w:cs="Times New Roman" w:eastAsiaTheme="minorEastAsia"/>
                <w:color w:val="auto"/>
                <w:sz w:val="24"/>
                <w:lang w:val="en-US" w:eastAsia="zh-CN"/>
              </w:rPr>
              <w:t>废油</w:t>
            </w:r>
            <w:r>
              <w:rPr>
                <w:rFonts w:hint="eastAsia" w:ascii="Times New Roman" w:hAnsi="Times New Roman" w:cs="Times New Roman" w:eastAsiaTheme="minorEastAsia"/>
                <w:color w:val="auto"/>
                <w:sz w:val="24"/>
                <w:lang w:val="en-US" w:eastAsia="zh-CN"/>
              </w:rPr>
              <w:t>依托</w:t>
            </w:r>
            <w:r>
              <w:rPr>
                <w:rFonts w:hint="default" w:ascii="Times New Roman" w:hAnsi="Times New Roman" w:cs="Times New Roman" w:eastAsiaTheme="minorEastAsia"/>
                <w:color w:val="auto"/>
                <w:sz w:val="24"/>
              </w:rPr>
              <w:t>站场原有排污池</w:t>
            </w:r>
            <w:r>
              <w:rPr>
                <w:rFonts w:hint="eastAsia" w:ascii="Times New Roman" w:hAnsi="Times New Roman" w:cs="Times New Roman"/>
                <w:color w:val="auto"/>
                <w:sz w:val="24"/>
                <w:lang w:eastAsia="zh-CN"/>
              </w:rPr>
              <w:t>，</w:t>
            </w:r>
            <w:r>
              <w:rPr>
                <w:rFonts w:hint="eastAsia" w:ascii="Times New Roman" w:hAnsi="Times New Roman" w:cs="Times New Roman"/>
                <w:color w:val="auto"/>
                <w:sz w:val="24"/>
                <w:lang w:val="en-US" w:eastAsia="zh-CN"/>
              </w:rPr>
              <w:t>排污池属于</w:t>
            </w:r>
            <w:r>
              <w:rPr>
                <w:rFonts w:hint="default" w:ascii="Times New Roman" w:hAnsi="Times New Roman" w:cs="Times New Roman"/>
                <w:color w:val="auto"/>
                <w:sz w:val="24"/>
                <w:lang w:val="en-US" w:eastAsia="zh-CN"/>
              </w:rPr>
              <w:t>山西天然气有限公司保德——三岔天然气输气管线工程</w:t>
            </w:r>
            <w:r>
              <w:rPr>
                <w:rFonts w:hint="eastAsia" w:ascii="Times New Roman" w:hAnsi="Times New Roman" w:cs="Times New Roman"/>
                <w:color w:val="auto"/>
                <w:sz w:val="24"/>
                <w:lang w:val="en-US" w:eastAsia="zh-CN"/>
              </w:rPr>
              <w:t>项目配套环保设施，已通过竣工环境保护验收，可满足新增要求</w:t>
            </w:r>
            <w:r>
              <w:rPr>
                <w:rFonts w:hint="default" w:ascii="Times New Roman" w:hAnsi="Times New Roman" w:cs="Times New Roman"/>
                <w:color w:val="auto"/>
                <w:sz w:val="24"/>
                <w:lang w:eastAsia="zh-CN"/>
              </w:rPr>
              <w:t>，</w:t>
            </w:r>
            <w:r>
              <w:rPr>
                <w:rFonts w:hint="default" w:ascii="Times New Roman" w:hAnsi="Times New Roman" w:cs="Times New Roman" w:eastAsiaTheme="minorEastAsia"/>
                <w:color w:val="auto"/>
                <w:sz w:val="24"/>
              </w:rPr>
              <w:t>将该废油先暂存于排污池内</w:t>
            </w:r>
            <w:r>
              <w:rPr>
                <w:rFonts w:hint="eastAsia" w:cs="Times New Roman"/>
                <w:color w:val="000000" w:themeColor="text1"/>
              </w:rPr>
              <w:t>，随产随清，由</w:t>
            </w:r>
            <w:r>
              <w:rPr>
                <w:rFonts w:hint="eastAsia" w:cs="Times New Roman"/>
                <w:color w:val="000000" w:themeColor="text1"/>
                <w:lang w:val="en-US" w:eastAsia="zh-CN"/>
              </w:rPr>
              <w:t>山西中材桃园环保科技有限公司</w:t>
            </w:r>
            <w:r>
              <w:rPr>
                <w:rFonts w:hint="eastAsia" w:cs="Times New Roman"/>
                <w:color w:val="000000" w:themeColor="text1"/>
              </w:rPr>
              <w:t>进行合理处置</w:t>
            </w:r>
            <w:r>
              <w:rPr>
                <w:rFonts w:hint="eastAsia" w:cs="Times New Roman"/>
                <w:color w:val="000000" w:themeColor="text1"/>
                <w:lang w:eastAsia="zh-CN"/>
              </w:rPr>
              <w:t>。</w:t>
            </w:r>
          </w:p>
          <w:p>
            <w:pPr>
              <w:pStyle w:val="86"/>
              <w:ind w:firstLine="480"/>
              <w:rPr>
                <w:szCs w:val="24"/>
              </w:rPr>
            </w:pPr>
            <w:r>
              <w:rPr>
                <w:szCs w:val="24"/>
              </w:rPr>
              <w:t>运营期固废均能合理处置，对周围环境影响较小。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pPr>
              <w:jc w:val="center"/>
              <w:rPr>
                <w:sz w:val="24"/>
              </w:rPr>
            </w:pPr>
            <w:r>
              <w:rPr>
                <w:sz w:val="24"/>
              </w:rPr>
              <w:t>运营期生态影响</w:t>
            </w:r>
          </w:p>
        </w:tc>
        <w:tc>
          <w:tcPr>
            <w:tcW w:w="8932" w:type="dxa"/>
          </w:tcPr>
          <w:p>
            <w:pPr>
              <w:snapToGrid w:val="0"/>
              <w:spacing w:line="460" w:lineRule="exact"/>
              <w:ind w:firstLine="480" w:firstLineChars="200"/>
              <w:rPr>
                <w:sz w:val="24"/>
              </w:rPr>
            </w:pPr>
            <w:r>
              <w:rPr>
                <w:sz w:val="24"/>
              </w:rPr>
              <w:t>1、对土壤的影响分析</w:t>
            </w:r>
          </w:p>
          <w:p>
            <w:pPr>
              <w:snapToGrid w:val="0"/>
              <w:spacing w:line="460" w:lineRule="exact"/>
              <w:ind w:firstLine="480" w:firstLineChars="200"/>
              <w:rPr>
                <w:sz w:val="24"/>
              </w:rPr>
            </w:pPr>
            <w:r>
              <w:rPr>
                <w:sz w:val="24"/>
              </w:rPr>
              <w:t>管道在运营期间，地表土壤温度比相邻地段高出1～3</w:t>
            </w:r>
            <w:r>
              <w:rPr>
                <w:rFonts w:hint="eastAsia" w:ascii="宋体" w:hAnsi="宋体" w:cs="宋体"/>
                <w:sz w:val="24"/>
              </w:rPr>
              <w:t>℃</w:t>
            </w:r>
            <w:r>
              <w:rPr>
                <w:sz w:val="24"/>
              </w:rPr>
              <w:t>，蒸发量加大，土壤水分减少，冬季土表积雪提前融化，将可能形成一条明显的沟带，但总体上来讲，运营期不会对土壤造成显著影响。</w:t>
            </w:r>
          </w:p>
          <w:p>
            <w:pPr>
              <w:snapToGrid w:val="0"/>
              <w:spacing w:line="460" w:lineRule="exact"/>
              <w:ind w:firstLine="360" w:firstLineChars="150"/>
              <w:rPr>
                <w:sz w:val="24"/>
              </w:rPr>
            </w:pPr>
            <w:r>
              <w:rPr>
                <w:sz w:val="24"/>
              </w:rPr>
              <w:t xml:space="preserve"> 2、对植被的影响分析</w:t>
            </w:r>
          </w:p>
          <w:p>
            <w:pPr>
              <w:snapToGrid w:val="0"/>
              <w:spacing w:line="460" w:lineRule="exact"/>
              <w:ind w:firstLine="480" w:firstLineChars="200"/>
              <w:rPr>
                <w:sz w:val="24"/>
              </w:rPr>
            </w:pPr>
            <w:r>
              <w:rPr>
                <w:sz w:val="24"/>
              </w:rPr>
              <w:t>经现场调查，项目运营期间管道所经地区处于正常状态，地表植被、农作物生长基本恢复正常。</w:t>
            </w:r>
          </w:p>
          <w:p>
            <w:pPr>
              <w:snapToGrid w:val="0"/>
              <w:spacing w:line="460" w:lineRule="exact"/>
              <w:ind w:firstLine="480" w:firstLineChars="200"/>
              <w:rPr>
                <w:sz w:val="24"/>
              </w:rPr>
            </w:pPr>
            <w:r>
              <w:rPr>
                <w:sz w:val="24"/>
              </w:rPr>
              <w:t>3、对生态系统影响分析</w:t>
            </w:r>
          </w:p>
          <w:p>
            <w:pPr>
              <w:tabs>
                <w:tab w:val="left" w:pos="8539"/>
              </w:tabs>
              <w:autoSpaceDE w:val="0"/>
              <w:autoSpaceDN w:val="0"/>
              <w:adjustRightInd w:val="0"/>
              <w:spacing w:line="460" w:lineRule="exact"/>
              <w:ind w:firstLine="480" w:firstLineChars="200"/>
              <w:rPr>
                <w:color w:val="FF0000"/>
                <w:sz w:val="24"/>
              </w:rPr>
            </w:pPr>
            <w:r>
              <w:rPr>
                <w:sz w:val="24"/>
              </w:rPr>
              <w:t>运营期生态环境的影响是施工期影响的一种延续，主要表现为植被恢复期的影响。运营期除偶尔的管道维修外，基本不会造成水土流失。经现场检查，沿线均设置了管道标志，以保证输气管道的安全。在非事故状态下，该项目在运营期不会对生态环境造成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vAlign w:val="center"/>
          </w:tcPr>
          <w:p>
            <w:pPr>
              <w:jc w:val="center"/>
              <w:rPr>
                <w:sz w:val="24"/>
              </w:rPr>
            </w:pPr>
            <w:r>
              <w:rPr>
                <w:sz w:val="24"/>
              </w:rPr>
              <w:t>运营期</w:t>
            </w:r>
          </w:p>
          <w:p>
            <w:pPr>
              <w:jc w:val="center"/>
              <w:rPr>
                <w:color w:val="FF0000"/>
                <w:sz w:val="24"/>
              </w:rPr>
            </w:pPr>
            <w:r>
              <w:rPr>
                <w:sz w:val="24"/>
              </w:rPr>
              <w:t>社会影响</w:t>
            </w:r>
          </w:p>
        </w:tc>
        <w:tc>
          <w:tcPr>
            <w:tcW w:w="8932" w:type="dxa"/>
          </w:tcPr>
          <w:p>
            <w:pPr>
              <w:snapToGrid w:val="0"/>
              <w:spacing w:line="460" w:lineRule="exact"/>
              <w:ind w:firstLine="480" w:firstLineChars="200"/>
              <w:rPr>
                <w:sz w:val="24"/>
              </w:rPr>
            </w:pPr>
            <w:r>
              <w:rPr>
                <w:sz w:val="24"/>
              </w:rPr>
              <w:t>项目建成后，该地区的燃料结构将发生变化，用天然气代替目前的煤炭。由于天然气为清洁能源燃料，燃烧过程中产生的污染物很少，使当地TSP、SO</w:t>
            </w:r>
            <w:r>
              <w:rPr>
                <w:sz w:val="24"/>
                <w:vertAlign w:val="subscript"/>
              </w:rPr>
              <w:t>2</w:t>
            </w:r>
            <w:r>
              <w:rPr>
                <w:sz w:val="24"/>
              </w:rPr>
              <w:t>等污染物排放量大大减少，使这些地区环境空气质量将有明显改善。</w:t>
            </w:r>
          </w:p>
          <w:p>
            <w:pPr>
              <w:pStyle w:val="43"/>
              <w:spacing w:line="460" w:lineRule="exact"/>
            </w:pPr>
            <w:r>
              <w:t>本工程具有良好的社会、经济和环境效益，尤其具有突出的大气环境效益。</w:t>
            </w:r>
          </w:p>
          <w:p>
            <w:pPr>
              <w:pStyle w:val="43"/>
              <w:spacing w:line="460" w:lineRule="exact"/>
              <w:rPr>
                <w:color w:val="FF0000"/>
              </w:rPr>
            </w:pPr>
          </w:p>
          <w:p>
            <w:pPr>
              <w:pStyle w:val="43"/>
              <w:spacing w:line="460" w:lineRule="exact"/>
              <w:rPr>
                <w:color w:val="FF0000"/>
              </w:rPr>
            </w:pPr>
          </w:p>
          <w:p>
            <w:pPr>
              <w:pStyle w:val="43"/>
              <w:spacing w:line="460" w:lineRule="exact"/>
              <w:rPr>
                <w:color w:val="FF0000"/>
              </w:rPr>
            </w:pPr>
          </w:p>
          <w:p>
            <w:pPr>
              <w:pStyle w:val="43"/>
              <w:spacing w:line="460" w:lineRule="exact"/>
              <w:rPr>
                <w:color w:val="FF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9" w:hRule="atLeast"/>
        </w:trPr>
        <w:tc>
          <w:tcPr>
            <w:tcW w:w="468" w:type="dxa"/>
            <w:vAlign w:val="center"/>
          </w:tcPr>
          <w:p>
            <w:pPr>
              <w:jc w:val="center"/>
              <w:rPr>
                <w:color w:val="auto"/>
                <w:sz w:val="24"/>
              </w:rPr>
            </w:pPr>
            <w:bookmarkStart w:id="66" w:name="_Toc102119097"/>
            <w:bookmarkStart w:id="67" w:name="_Toc328647957"/>
            <w:bookmarkStart w:id="68" w:name="_Toc100123158"/>
            <w:bookmarkStart w:id="69" w:name="_Toc297795034"/>
            <w:bookmarkStart w:id="70" w:name="_Toc100122858"/>
            <w:bookmarkStart w:id="71" w:name="_Toc100119404"/>
            <w:bookmarkStart w:id="72" w:name="_Toc102120192"/>
            <w:bookmarkStart w:id="73" w:name="_Toc100123058"/>
            <w:bookmarkStart w:id="74" w:name="_Toc102120475"/>
            <w:r>
              <w:rPr>
                <w:color w:val="auto"/>
                <w:sz w:val="24"/>
              </w:rPr>
              <w:t>运营期</w:t>
            </w:r>
          </w:p>
          <w:p>
            <w:pPr>
              <w:jc w:val="center"/>
              <w:rPr>
                <w:color w:val="FF0000"/>
                <w:sz w:val="24"/>
              </w:rPr>
            </w:pPr>
            <w:r>
              <w:rPr>
                <w:color w:val="auto"/>
                <w:sz w:val="24"/>
              </w:rPr>
              <w:t>风险防范措施</w:t>
            </w:r>
          </w:p>
        </w:tc>
        <w:tc>
          <w:tcPr>
            <w:tcW w:w="8932" w:type="dxa"/>
          </w:tcPr>
          <w:p>
            <w:pPr>
              <w:snapToGrid w:val="0"/>
              <w:spacing w:line="460" w:lineRule="exact"/>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山西天然气有限公司已完成突发环境事件应急预案的编制工作，于2019年1月2</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t>日在忻州市环境监察支队完成备案，预案范围</w:t>
            </w:r>
            <w:r>
              <w:rPr>
                <w:rFonts w:hint="default" w:ascii="Times New Roman" w:hAnsi="Times New Roman" w:cs="Times New Roman"/>
                <w:sz w:val="24"/>
                <w:szCs w:val="24"/>
                <w:lang w:val="en-US" w:eastAsia="zh-CN"/>
              </w:rPr>
              <w:t>仅包括</w:t>
            </w:r>
            <w:r>
              <w:rPr>
                <w:rFonts w:hint="default" w:ascii="Times New Roman" w:hAnsi="Times New Roman" w:cs="Times New Roman" w:eastAsiaTheme="minorEastAsia"/>
                <w:sz w:val="24"/>
              </w:rPr>
              <w:t>保德燃气（煤层气）热电联产项目供气专线工程</w:t>
            </w:r>
            <w:r>
              <w:rPr>
                <w:rFonts w:hint="default" w:ascii="Times New Roman" w:hAnsi="Times New Roman" w:cs="Times New Roman" w:eastAsiaTheme="minorEastAsia"/>
                <w:sz w:val="24"/>
                <w:lang w:eastAsia="zh-CN"/>
              </w:rPr>
              <w:t>，</w:t>
            </w:r>
            <w:r>
              <w:rPr>
                <w:rFonts w:hint="default" w:ascii="Times New Roman" w:hAnsi="Times New Roman" w:cs="Times New Roman"/>
                <w:sz w:val="24"/>
                <w:szCs w:val="24"/>
              </w:rPr>
              <w:t>备案编号为140900201901</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-L。</w:t>
            </w:r>
          </w:p>
          <w:p>
            <w:pPr>
              <w:snapToGrid w:val="0"/>
              <w:spacing w:line="460" w:lineRule="exact"/>
              <w:ind w:firstLine="480" w:firstLineChars="200"/>
              <w:rPr>
                <w:sz w:val="24"/>
              </w:rPr>
            </w:pPr>
            <w:r>
              <w:rPr>
                <w:sz w:val="24"/>
              </w:rPr>
              <w:t>验收期间没有发生过投诉。运营期采取了以下防范措施：</w:t>
            </w:r>
          </w:p>
          <w:p>
            <w:pPr>
              <w:snapToGrid w:val="0"/>
              <w:spacing w:line="460" w:lineRule="exact"/>
              <w:ind w:firstLine="480" w:firstLineChars="200"/>
              <w:rPr>
                <w:sz w:val="24"/>
              </w:rPr>
            </w:pPr>
            <w:r>
              <w:rPr>
                <w:sz w:val="24"/>
              </w:rPr>
              <w:t>保证煤层气的气质，定期清管，排除管内的积水和污物；每三年进行管道壁厚的测量，对严重管壁减薄的管段，及时维修更换，避免爆管事故发生；每半年检查管道安全保护系统(如截断阀、安全阀、放空系统等)，使管道在超压时能够得到安全处理；在铁路、公路、河流穿越点的标志清楚、明确，其设置能从不同方向，不同角度均可看清；专门设置了巡线员岗位，加强对管道安全的管理。巡线员每天对管道进行巡视，发现问题及时上报，保障管道的安全运行。</w:t>
            </w:r>
          </w:p>
          <w:p>
            <w:pPr>
              <w:snapToGrid w:val="0"/>
              <w:spacing w:line="460" w:lineRule="exact"/>
              <w:ind w:firstLine="480" w:firstLineChars="200"/>
              <w:rPr>
                <w:color w:val="FF0000"/>
                <w:sz w:val="24"/>
              </w:rPr>
            </w:pPr>
            <w:r>
              <w:rPr>
                <w:sz w:val="24"/>
              </w:rPr>
              <w:t>环境风险发生时，先是抢救伤员，同时及时切断气源，在站场启动</w:t>
            </w:r>
            <w:r>
              <w:rPr>
                <w:rFonts w:hint="eastAsia"/>
                <w:sz w:val="24"/>
              </w:rPr>
              <w:t>自</w:t>
            </w:r>
            <w:r>
              <w:rPr>
                <w:sz w:val="24"/>
              </w:rPr>
              <w:t>动点火装置将大部分管网内残留天然气点燃放散。建立警戒区、警戒线，撤离无关人员，禁止非抢救人员入内，对有毒物品和可燃气体、液体泄露的场所，采取防毒措施，切断电源、火种和断绝交通。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468" w:type="dxa"/>
            <w:vAlign w:val="center"/>
          </w:tcPr>
          <w:p>
            <w:pPr>
              <w:jc w:val="center"/>
              <w:rPr>
                <w:sz w:val="24"/>
              </w:rPr>
            </w:pPr>
            <w:r>
              <w:rPr>
                <w:sz w:val="24"/>
              </w:rPr>
              <w:t>敏感点调查</w:t>
            </w:r>
          </w:p>
        </w:tc>
        <w:tc>
          <w:tcPr>
            <w:tcW w:w="8932" w:type="dxa"/>
          </w:tcPr>
          <w:p>
            <w:pPr>
              <w:pStyle w:val="26"/>
              <w:spacing w:after="0" w:line="460" w:lineRule="exact"/>
              <w:ind w:left="0" w:leftChars="0" w:firstLine="480" w:firstLineChars="200"/>
              <w:rPr>
                <w:sz w:val="24"/>
              </w:rPr>
            </w:pPr>
            <w:r>
              <w:rPr>
                <w:sz w:val="24"/>
              </w:rPr>
              <w:t>经验收调查，</w:t>
            </w:r>
            <w:r>
              <w:rPr>
                <w:rFonts w:hint="eastAsia"/>
                <w:sz w:val="24"/>
              </w:rPr>
              <w:t>本工程未新增保护目标。</w:t>
            </w:r>
          </w:p>
          <w:p>
            <w:pPr>
              <w:pStyle w:val="26"/>
              <w:spacing w:after="0" w:line="460" w:lineRule="exact"/>
              <w:ind w:left="0" w:leftChars="0" w:firstLine="480" w:firstLineChars="200"/>
              <w:rPr>
                <w:sz w:val="24"/>
              </w:rPr>
            </w:pPr>
            <w:r>
              <w:rPr>
                <w:rFonts w:hint="eastAsia"/>
                <w:sz w:val="24"/>
              </w:rPr>
              <w:t>工程</w:t>
            </w:r>
            <w:r>
              <w:rPr>
                <w:sz w:val="24"/>
              </w:rPr>
              <w:t>穿越</w:t>
            </w:r>
            <w:r>
              <w:rPr>
                <w:rFonts w:hint="eastAsia"/>
                <w:sz w:val="24"/>
              </w:rPr>
              <w:t>五保高速匝道</w:t>
            </w:r>
            <w:r>
              <w:rPr>
                <w:rFonts w:hint="eastAsia"/>
                <w:sz w:val="24"/>
                <w:lang w:val="en-US" w:eastAsia="zh-CN"/>
              </w:rPr>
              <w:t>2</w:t>
            </w:r>
            <w:r>
              <w:rPr>
                <w:rFonts w:hint="eastAsia"/>
                <w:sz w:val="24"/>
              </w:rPr>
              <w:t>次，</w:t>
            </w:r>
            <w:r>
              <w:rPr>
                <w:rFonts w:hint="eastAsia"/>
                <w:sz w:val="24"/>
                <w:lang w:val="en-US" w:eastAsia="zh-CN"/>
              </w:rPr>
              <w:t>穿越位置发生变化</w:t>
            </w:r>
            <w:r>
              <w:rPr>
                <w:rFonts w:hint="eastAsia"/>
                <w:sz w:val="24"/>
              </w:rPr>
              <w:t>。</w:t>
            </w:r>
            <w:r>
              <w:rPr>
                <w:sz w:val="24"/>
              </w:rPr>
              <w:t>其余工程穿越公路情况与环评时基本一致。</w:t>
            </w:r>
          </w:p>
          <w:p>
            <w:pPr>
              <w:pStyle w:val="26"/>
              <w:spacing w:after="0" w:line="460" w:lineRule="exact"/>
              <w:ind w:left="0" w:leftChars="0" w:firstLine="480" w:firstLineChars="200"/>
              <w:rPr>
                <w:sz w:val="24"/>
              </w:rPr>
            </w:pPr>
            <w:r>
              <w:rPr>
                <w:sz w:val="24"/>
              </w:rPr>
              <w:t>工程采</w:t>
            </w:r>
            <w:r>
              <w:rPr>
                <w:rFonts w:hint="eastAsia"/>
                <w:sz w:val="24"/>
              </w:rPr>
              <w:t>用</w:t>
            </w:r>
            <w:r>
              <w:rPr>
                <w:sz w:val="24"/>
              </w:rPr>
              <w:t>大开挖管沟敷设穿越地表水体，施工选择在枯水期时施工，对河流两侧岸坡进行防护，施工后恢复河道原状</w:t>
            </w:r>
            <w:r>
              <w:rPr>
                <w:rFonts w:hint="eastAsia"/>
                <w:sz w:val="24"/>
              </w:rPr>
              <w:t>，</w:t>
            </w:r>
            <w:r>
              <w:rPr>
                <w:sz w:val="24"/>
              </w:rPr>
              <w:t>目前工程建设和运行未对水体产生影响</w:t>
            </w:r>
            <w:r>
              <w:rPr>
                <w:rFonts w:hint="eastAsia"/>
                <w:sz w:val="24"/>
              </w:rPr>
              <w:t>。</w:t>
            </w:r>
            <w:r>
              <w:rPr>
                <w:sz w:val="24"/>
              </w:rPr>
              <w:t>但由于本工程运行具有易泄漏危险，将会对水体产生影响，为确保水体不受影响，本工程运营期间必须抓好安全防范工作。</w:t>
            </w:r>
          </w:p>
          <w:p>
            <w:pPr>
              <w:pStyle w:val="26"/>
              <w:spacing w:after="0" w:line="460" w:lineRule="exact"/>
              <w:ind w:left="0" w:leftChars="0" w:firstLine="480" w:firstLineChars="200"/>
              <w:rPr>
                <w:sz w:val="24"/>
              </w:rPr>
            </w:pPr>
            <w:r>
              <w:rPr>
                <w:sz w:val="24"/>
              </w:rPr>
              <w:t>工程穿越</w:t>
            </w:r>
            <w:r>
              <w:rPr>
                <w:rFonts w:hint="eastAsia"/>
                <w:sz w:val="24"/>
              </w:rPr>
              <w:t>保德县</w:t>
            </w:r>
            <w:r>
              <w:rPr>
                <w:sz w:val="24"/>
              </w:rPr>
              <w:t>境内时，</w:t>
            </w:r>
            <w:r>
              <w:rPr>
                <w:rFonts w:hint="eastAsia"/>
                <w:sz w:val="24"/>
              </w:rPr>
              <w:t>未穿越</w:t>
            </w:r>
            <w:r>
              <w:rPr>
                <w:sz w:val="24"/>
              </w:rPr>
              <w:t>杨家湾镇集中供水水源地</w:t>
            </w:r>
            <w:r>
              <w:rPr>
                <w:rFonts w:hint="eastAsia"/>
                <w:sz w:val="24"/>
              </w:rPr>
              <w:t>和</w:t>
            </w:r>
            <w:r>
              <w:rPr>
                <w:sz w:val="24"/>
              </w:rPr>
              <w:t>桥头镇集中供水水源地</w:t>
            </w:r>
            <w:r>
              <w:rPr>
                <w:rFonts w:hint="eastAsia"/>
                <w:sz w:val="24"/>
              </w:rPr>
              <w:t>，</w:t>
            </w:r>
            <w:r>
              <w:rPr>
                <w:sz w:val="24"/>
              </w:rPr>
              <w:t>管线距离水源地最近的位置位于杨家湾镇集中供水水源地保护区边界西侧约7.2km处，位于桥头镇集中供水水源地保护区边界西侧约10.4km处</w:t>
            </w:r>
            <w:r>
              <w:rPr>
                <w:rFonts w:hint="eastAsia"/>
                <w:sz w:val="24"/>
              </w:rPr>
              <w:t>，</w:t>
            </w:r>
            <w:r>
              <w:rPr>
                <w:sz w:val="24"/>
              </w:rPr>
              <w:t>目前工程的建设</w:t>
            </w:r>
            <w:r>
              <w:rPr>
                <w:rFonts w:hint="eastAsia"/>
                <w:sz w:val="24"/>
              </w:rPr>
              <w:t>和</w:t>
            </w:r>
            <w:r>
              <w:rPr>
                <w:sz w:val="24"/>
              </w:rPr>
              <w:t>运行未对沿线现有用户取用水产生影响。</w:t>
            </w:r>
          </w:p>
          <w:p>
            <w:pPr>
              <w:pStyle w:val="26"/>
              <w:spacing w:after="0" w:line="460" w:lineRule="exact"/>
              <w:ind w:left="0" w:leftChars="0" w:firstLine="480" w:firstLineChars="200"/>
              <w:rPr>
                <w:color w:val="FF0000"/>
                <w:sz w:val="24"/>
              </w:rPr>
            </w:pPr>
          </w:p>
        </w:tc>
      </w:tr>
    </w:tbl>
    <w:p>
      <w:pPr>
        <w:rPr>
          <w:color w:val="FF0000"/>
          <w:sz w:val="30"/>
          <w:szCs w:val="30"/>
        </w:rPr>
        <w:sectPr>
          <w:pgSz w:w="11906" w:h="16838"/>
          <w:pgMar w:top="1701" w:right="1304" w:bottom="1134" w:left="1418" w:header="1134" w:footer="992" w:gutter="0"/>
          <w:cols w:space="425" w:num="1"/>
          <w:docGrid w:type="linesAndChars" w:linePitch="312" w:charSpace="0"/>
        </w:sectPr>
      </w:pPr>
    </w:p>
    <w:p>
      <w:pPr>
        <w:pStyle w:val="4"/>
        <w:spacing w:before="156" w:after="156"/>
        <w:rPr>
          <w:rFonts w:ascii="Times New Roman"/>
          <w:sz w:val="30"/>
          <w:szCs w:val="30"/>
        </w:rPr>
      </w:pPr>
      <w:bookmarkStart w:id="75" w:name="_Toc443915688"/>
      <w:r>
        <w:rPr>
          <w:rFonts w:ascii="Times New Roman"/>
          <w:sz w:val="30"/>
          <w:szCs w:val="30"/>
        </w:rPr>
        <w:t>表8  环境质量及污染源监测（附监测图）</w:t>
      </w:r>
      <w:bookmarkEnd w:id="66"/>
      <w:bookmarkEnd w:id="67"/>
      <w:bookmarkEnd w:id="68"/>
      <w:bookmarkEnd w:id="69"/>
      <w:bookmarkEnd w:id="70"/>
      <w:bookmarkEnd w:id="71"/>
      <w:bookmarkEnd w:id="72"/>
      <w:bookmarkEnd w:id="73"/>
      <w:bookmarkEnd w:id="74"/>
      <w:bookmarkEnd w:id="75"/>
    </w:p>
    <w:tbl>
      <w:tblPr>
        <w:tblStyle w:val="3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tcPr>
          <w:p>
            <w:pPr>
              <w:spacing w:line="460" w:lineRule="exact"/>
              <w:ind w:firstLine="480" w:firstLineChars="200"/>
              <w:rPr>
                <w:sz w:val="24"/>
              </w:rPr>
            </w:pPr>
            <w:r>
              <w:rPr>
                <w:sz w:val="24"/>
              </w:rPr>
              <w:t>1、声环境</w:t>
            </w:r>
          </w:p>
          <w:p>
            <w:pPr>
              <w:spacing w:line="460" w:lineRule="exact"/>
              <w:ind w:firstLine="480" w:firstLineChars="200"/>
              <w:rPr>
                <w:sz w:val="24"/>
              </w:rPr>
            </w:pPr>
            <w:r>
              <w:rPr>
                <w:sz w:val="24"/>
              </w:rPr>
              <w:t>（1）声环境调查范围</w:t>
            </w:r>
          </w:p>
          <w:p>
            <w:pPr>
              <w:spacing w:line="460" w:lineRule="exact"/>
              <w:ind w:firstLine="480" w:firstLineChars="200"/>
              <w:rPr>
                <w:color w:val="FF0000"/>
                <w:sz w:val="24"/>
              </w:rPr>
            </w:pPr>
            <w:r>
              <w:rPr>
                <w:sz w:val="24"/>
              </w:rPr>
              <w:t>声环境主要调查</w:t>
            </w:r>
            <w:r>
              <w:rPr>
                <w:rFonts w:hint="eastAsia"/>
                <w:sz w:val="24"/>
              </w:rPr>
              <w:t>保德首站</w:t>
            </w:r>
            <w:r>
              <w:rPr>
                <w:sz w:val="24"/>
              </w:rPr>
              <w:t>内各类噪声设备对各站周边场界和关心点的影响，调查范围为场界外1.0m内的范围。</w:t>
            </w:r>
          </w:p>
          <w:p>
            <w:pPr>
              <w:spacing w:line="460" w:lineRule="exact"/>
              <w:ind w:firstLine="480" w:firstLineChars="200"/>
              <w:rPr>
                <w:sz w:val="24"/>
              </w:rPr>
            </w:pPr>
            <w:r>
              <w:rPr>
                <w:sz w:val="24"/>
              </w:rPr>
              <w:t>（2）噪声监测内容</w:t>
            </w:r>
          </w:p>
          <w:p>
            <w:pPr>
              <w:spacing w:line="460" w:lineRule="exact"/>
              <w:ind w:firstLine="480" w:firstLineChars="200"/>
              <w:rPr>
                <w:sz w:val="24"/>
              </w:rPr>
            </w:pPr>
            <w:r>
              <w:rPr>
                <w:sz w:val="24"/>
              </w:rPr>
              <w:t>为了解该工程投产后噪声污染对周围环境的影响，对站场场界和敏感目标的噪声进行测试，具体监测内容详见表8-1。</w:t>
            </w:r>
          </w:p>
          <w:p>
            <w:pPr>
              <w:spacing w:line="480" w:lineRule="exact"/>
              <w:ind w:firstLine="420" w:firstLineChars="200"/>
              <w:jc w:val="center"/>
              <w:rPr>
                <w:b/>
                <w:sz w:val="24"/>
              </w:rPr>
            </w:pPr>
            <w:r>
              <w:rPr>
                <w:b/>
              </w:rPr>
              <w:t>表8-1噪声监测内容一览表</w:t>
            </w:r>
          </w:p>
          <w:tbl>
            <w:tblPr>
              <w:tblStyle w:val="32"/>
              <w:tblpPr w:leftFromText="180" w:rightFromText="180" w:vertAnchor="text" w:horzAnchor="margin" w:tblpY="127"/>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5"/>
              <w:gridCol w:w="3187"/>
              <w:gridCol w:w="1497"/>
              <w:gridCol w:w="3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5" w:type="dxa"/>
                  <w:vAlign w:val="center"/>
                </w:tcPr>
                <w:p>
                  <w:pPr>
                    <w:jc w:val="center"/>
                    <w:rPr>
                      <w:szCs w:val="21"/>
                    </w:rPr>
                  </w:pPr>
                  <w:r>
                    <w:rPr>
                      <w:szCs w:val="21"/>
                    </w:rPr>
                    <w:t>分类</w:t>
                  </w:r>
                </w:p>
              </w:tc>
              <w:tc>
                <w:tcPr>
                  <w:tcW w:w="3187" w:type="dxa"/>
                  <w:vAlign w:val="center"/>
                </w:tcPr>
                <w:p>
                  <w:pPr>
                    <w:jc w:val="center"/>
                    <w:rPr>
                      <w:szCs w:val="21"/>
                    </w:rPr>
                  </w:pPr>
                  <w:r>
                    <w:rPr>
                      <w:szCs w:val="21"/>
                    </w:rPr>
                    <w:t>点位布置</w:t>
                  </w:r>
                </w:p>
              </w:tc>
              <w:tc>
                <w:tcPr>
                  <w:tcW w:w="1497" w:type="dxa"/>
                  <w:vAlign w:val="center"/>
                </w:tcPr>
                <w:p>
                  <w:pPr>
                    <w:jc w:val="center"/>
                    <w:rPr>
                      <w:szCs w:val="21"/>
                    </w:rPr>
                  </w:pPr>
                  <w:r>
                    <w:rPr>
                      <w:szCs w:val="21"/>
                    </w:rPr>
                    <w:t>监测项目</w:t>
                  </w:r>
                </w:p>
              </w:tc>
              <w:tc>
                <w:tcPr>
                  <w:tcW w:w="3075" w:type="dxa"/>
                  <w:vAlign w:val="center"/>
                </w:tcPr>
                <w:p>
                  <w:pPr>
                    <w:jc w:val="center"/>
                    <w:rPr>
                      <w:szCs w:val="21"/>
                    </w:rPr>
                  </w:pPr>
                  <w:r>
                    <w:rPr>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5" w:type="dxa"/>
                  <w:shd w:val="clear" w:color="auto" w:fill="auto"/>
                  <w:vAlign w:val="center"/>
                </w:tcPr>
                <w:p>
                  <w:pPr>
                    <w:ind w:left="113" w:right="113"/>
                    <w:jc w:val="center"/>
                    <w:rPr>
                      <w:szCs w:val="21"/>
                    </w:rPr>
                  </w:pPr>
                  <w:r>
                    <w:rPr>
                      <w:szCs w:val="21"/>
                    </w:rPr>
                    <w:t>场界噪声</w:t>
                  </w:r>
                </w:p>
              </w:tc>
              <w:tc>
                <w:tcPr>
                  <w:tcW w:w="3187" w:type="dxa"/>
                  <w:shd w:val="clear" w:color="auto" w:fill="FFFFFF"/>
                  <w:vAlign w:val="center"/>
                </w:tcPr>
                <w:p>
                  <w:pPr>
                    <w:rPr>
                      <w:szCs w:val="21"/>
                    </w:rPr>
                  </w:pPr>
                  <w:r>
                    <w:rPr>
                      <w:rFonts w:hint="eastAsia"/>
                    </w:rPr>
                    <w:t>保德首站</w:t>
                  </w:r>
                  <w:r>
                    <w:t>：场界</w:t>
                  </w:r>
                  <w:r>
                    <w:rPr>
                      <w:rFonts w:hint="eastAsia"/>
                    </w:rPr>
                    <w:t>6</w:t>
                  </w:r>
                  <w:r>
                    <w:rPr>
                      <w:szCs w:val="21"/>
                    </w:rPr>
                    <w:t>个监测点</w:t>
                  </w:r>
                </w:p>
              </w:tc>
              <w:tc>
                <w:tcPr>
                  <w:tcW w:w="1497" w:type="dxa"/>
                  <w:vMerge w:val="restart"/>
                  <w:vAlign w:val="center"/>
                </w:tcPr>
                <w:p>
                  <w:pPr>
                    <w:jc w:val="center"/>
                    <w:rPr>
                      <w:spacing w:val="-20"/>
                      <w:szCs w:val="21"/>
                    </w:rPr>
                  </w:pPr>
                  <w:r>
                    <w:rPr>
                      <w:spacing w:val="-20"/>
                      <w:szCs w:val="21"/>
                    </w:rPr>
                    <w:t>L</w:t>
                  </w:r>
                  <w:r>
                    <w:rPr>
                      <w:spacing w:val="-20"/>
                      <w:sz w:val="24"/>
                    </w:rPr>
                    <w:t>eq</w:t>
                  </w:r>
                  <w:r>
                    <w:rPr>
                      <w:spacing w:val="-20"/>
                      <w:szCs w:val="21"/>
                    </w:rPr>
                    <w:t>、L</w:t>
                  </w:r>
                  <w:r>
                    <w:rPr>
                      <w:spacing w:val="-20"/>
                      <w:sz w:val="28"/>
                      <w:szCs w:val="28"/>
                      <w:vertAlign w:val="subscript"/>
                    </w:rPr>
                    <w:t>50</w:t>
                  </w:r>
                  <w:r>
                    <w:rPr>
                      <w:spacing w:val="-20"/>
                      <w:szCs w:val="21"/>
                    </w:rPr>
                    <w:t>、L</w:t>
                  </w:r>
                  <w:r>
                    <w:rPr>
                      <w:spacing w:val="-20"/>
                      <w:sz w:val="28"/>
                      <w:szCs w:val="28"/>
                      <w:vertAlign w:val="subscript"/>
                    </w:rPr>
                    <w:t>90</w:t>
                  </w:r>
                  <w:r>
                    <w:rPr>
                      <w:spacing w:val="-20"/>
                      <w:szCs w:val="21"/>
                    </w:rPr>
                    <w:t>、L</w:t>
                  </w:r>
                  <w:r>
                    <w:rPr>
                      <w:spacing w:val="-20"/>
                      <w:sz w:val="28"/>
                      <w:szCs w:val="28"/>
                      <w:vertAlign w:val="subscript"/>
                    </w:rPr>
                    <w:t>10</w:t>
                  </w:r>
                </w:p>
              </w:tc>
              <w:tc>
                <w:tcPr>
                  <w:tcW w:w="3075" w:type="dxa"/>
                  <w:vMerge w:val="restart"/>
                  <w:vAlign w:val="center"/>
                </w:tcPr>
                <w:p>
                  <w:pPr>
                    <w:jc w:val="center"/>
                    <w:rPr>
                      <w:szCs w:val="21"/>
                    </w:rPr>
                  </w:pPr>
                  <w:r>
                    <w:rPr>
                      <w:color w:val="000000"/>
                      <w:szCs w:val="21"/>
                    </w:rPr>
                    <w:t>201</w:t>
                  </w:r>
                  <w:r>
                    <w:rPr>
                      <w:rFonts w:hint="eastAsia"/>
                      <w:color w:val="000000"/>
                      <w:szCs w:val="21"/>
                    </w:rPr>
                    <w:t>8</w:t>
                  </w:r>
                  <w:r>
                    <w:rPr>
                      <w:color w:val="000000"/>
                      <w:szCs w:val="21"/>
                    </w:rPr>
                    <w:t>年</w:t>
                  </w:r>
                  <w:r>
                    <w:rPr>
                      <w:rFonts w:hint="eastAsia"/>
                      <w:color w:val="000000"/>
                      <w:szCs w:val="21"/>
                    </w:rPr>
                    <w:t>7</w:t>
                  </w:r>
                  <w:r>
                    <w:rPr>
                      <w:color w:val="000000"/>
                      <w:szCs w:val="21"/>
                    </w:rPr>
                    <w:t>月</w:t>
                  </w:r>
                  <w:r>
                    <w:rPr>
                      <w:rFonts w:hint="eastAsia"/>
                      <w:color w:val="000000"/>
                      <w:szCs w:val="21"/>
                    </w:rPr>
                    <w:t>7</w:t>
                  </w:r>
                  <w:r>
                    <w:rPr>
                      <w:color w:val="000000"/>
                      <w:szCs w:val="21"/>
                    </w:rPr>
                    <w:t>日-</w:t>
                  </w:r>
                  <w:r>
                    <w:rPr>
                      <w:rFonts w:hint="eastAsia"/>
                      <w:color w:val="000000"/>
                      <w:szCs w:val="21"/>
                    </w:rPr>
                    <w:t>8</w:t>
                  </w:r>
                  <w:r>
                    <w:rPr>
                      <w:color w:val="000000"/>
                      <w:szCs w:val="21"/>
                    </w:rPr>
                    <w:t>日连续2天，每天昼夜各1次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5" w:type="dxa"/>
                  <w:shd w:val="clear" w:color="auto" w:fill="auto"/>
                  <w:vAlign w:val="center"/>
                </w:tcPr>
                <w:p>
                  <w:pPr>
                    <w:ind w:left="113" w:right="113"/>
                    <w:jc w:val="center"/>
                    <w:rPr>
                      <w:szCs w:val="21"/>
                    </w:rPr>
                  </w:pPr>
                  <w:r>
                    <w:rPr>
                      <w:szCs w:val="21"/>
                    </w:rPr>
                    <w:t>敏感点</w:t>
                  </w:r>
                </w:p>
                <w:p>
                  <w:pPr>
                    <w:ind w:left="113" w:right="113"/>
                    <w:jc w:val="center"/>
                    <w:rPr>
                      <w:szCs w:val="21"/>
                    </w:rPr>
                  </w:pPr>
                  <w:r>
                    <w:rPr>
                      <w:szCs w:val="21"/>
                    </w:rPr>
                    <w:t>噪声</w:t>
                  </w:r>
                </w:p>
              </w:tc>
              <w:tc>
                <w:tcPr>
                  <w:tcW w:w="3187" w:type="dxa"/>
                  <w:shd w:val="clear" w:color="auto" w:fill="FFFFFF"/>
                  <w:vAlign w:val="center"/>
                </w:tcPr>
                <w:p>
                  <w:r>
                    <w:rPr>
                      <w:rFonts w:hint="eastAsia"/>
                    </w:rPr>
                    <w:t>山头村</w:t>
                  </w:r>
                </w:p>
              </w:tc>
              <w:tc>
                <w:tcPr>
                  <w:tcW w:w="1497" w:type="dxa"/>
                  <w:vMerge w:val="continue"/>
                  <w:vAlign w:val="center"/>
                </w:tcPr>
                <w:p>
                  <w:pPr>
                    <w:jc w:val="center"/>
                    <w:rPr>
                      <w:spacing w:val="-20"/>
                      <w:szCs w:val="21"/>
                    </w:rPr>
                  </w:pPr>
                </w:p>
              </w:tc>
              <w:tc>
                <w:tcPr>
                  <w:tcW w:w="3075" w:type="dxa"/>
                  <w:vMerge w:val="continue"/>
                  <w:vAlign w:val="center"/>
                </w:tcPr>
                <w:p>
                  <w:pPr>
                    <w:jc w:val="center"/>
                    <w:rPr>
                      <w:szCs w:val="21"/>
                    </w:rPr>
                  </w:pPr>
                </w:p>
              </w:tc>
            </w:tr>
          </w:tbl>
          <w:p>
            <w:pPr>
              <w:spacing w:line="460" w:lineRule="exact"/>
              <w:ind w:firstLine="480" w:firstLineChars="200"/>
              <w:rPr>
                <w:sz w:val="24"/>
              </w:rPr>
            </w:pPr>
            <w:r>
              <w:rPr>
                <w:sz w:val="24"/>
              </w:rPr>
              <w:t>（3）监测布点</w:t>
            </w:r>
          </w:p>
          <w:p>
            <w:pPr>
              <w:spacing w:line="460" w:lineRule="exact"/>
              <w:ind w:firstLine="480" w:firstLineChars="200"/>
              <w:rPr>
                <w:sz w:val="24"/>
              </w:rPr>
            </w:pPr>
            <w:r>
              <w:rPr>
                <w:sz w:val="24"/>
              </w:rPr>
              <w:t>在</w:t>
            </w:r>
            <w:r>
              <w:rPr>
                <w:rFonts w:hint="eastAsia"/>
                <w:sz w:val="24"/>
              </w:rPr>
              <w:t>保德首站厂界四周布设6个点，山头村距离分输站最近处设1个监测点位</w:t>
            </w:r>
            <w:r>
              <w:rPr>
                <w:sz w:val="24"/>
              </w:rPr>
              <w:t>。监测布点图见图8-1。</w:t>
            </w:r>
          </w:p>
          <w:p>
            <w:pPr>
              <w:spacing w:line="460" w:lineRule="exact"/>
              <w:ind w:firstLine="480" w:firstLineChars="200"/>
              <w:rPr>
                <w:sz w:val="24"/>
              </w:rPr>
            </w:pPr>
            <w:r>
              <w:rPr>
                <w:rFonts w:hint="eastAsia"/>
                <w:sz w:val="24"/>
              </w:rPr>
              <w:drawing>
                <wp:anchor distT="0" distB="0" distL="114300" distR="114300" simplePos="0" relativeHeight="251699200" behindDoc="0" locked="0" layoutInCell="1" allowOverlap="1">
                  <wp:simplePos x="0" y="0"/>
                  <wp:positionH relativeFrom="column">
                    <wp:posOffset>1176020</wp:posOffset>
                  </wp:positionH>
                  <wp:positionV relativeFrom="paragraph">
                    <wp:posOffset>111760</wp:posOffset>
                  </wp:positionV>
                  <wp:extent cx="3456940" cy="3094990"/>
                  <wp:effectExtent l="0" t="0" r="10160" b="10160"/>
                  <wp:wrapNone/>
                  <wp:docPr id="42" name="图片 6" descr="C:\Users\ADMINI~1\AppData\Local\Temp\1531105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6" descr="C:\Users\ADMINI~1\AppData\Local\Temp\1531105171.png"/>
                          <pic:cNvPicPr>
                            <a:picLocks noChangeAspect="1" noChangeArrowheads="1"/>
                          </pic:cNvPicPr>
                        </pic:nvPicPr>
                        <pic:blipFill>
                          <a:blip r:embed="rId31"/>
                          <a:srcRect/>
                          <a:stretch>
                            <a:fillRect/>
                          </a:stretch>
                        </pic:blipFill>
                        <pic:spPr>
                          <a:xfrm>
                            <a:off x="0" y="0"/>
                            <a:ext cx="3456940" cy="3094990"/>
                          </a:xfrm>
                          <a:prstGeom prst="rect">
                            <a:avLst/>
                          </a:prstGeom>
                          <a:noFill/>
                          <a:ln w="9525">
                            <a:noFill/>
                            <a:miter lim="800000"/>
                            <a:headEnd/>
                            <a:tailEnd/>
                          </a:ln>
                        </pic:spPr>
                      </pic:pic>
                    </a:graphicData>
                  </a:graphic>
                </wp:anchor>
              </w:drawing>
            </w:r>
          </w:p>
          <w:p>
            <w:pPr>
              <w:spacing w:line="460" w:lineRule="exact"/>
              <w:ind w:firstLine="480" w:firstLineChars="200"/>
              <w:rPr>
                <w:sz w:val="24"/>
              </w:rPr>
            </w:pPr>
            <w:r>
              <w:rPr>
                <w:sz w:val="24"/>
              </w:rPr>
              <mc:AlternateContent>
                <mc:Choice Requires="wps">
                  <w:drawing>
                    <wp:anchor distT="0" distB="0" distL="114300" distR="114300" simplePos="0" relativeHeight="251705344" behindDoc="0" locked="0" layoutInCell="1" allowOverlap="1">
                      <wp:simplePos x="0" y="0"/>
                      <wp:positionH relativeFrom="column">
                        <wp:posOffset>3133090</wp:posOffset>
                      </wp:positionH>
                      <wp:positionV relativeFrom="paragraph">
                        <wp:posOffset>230505</wp:posOffset>
                      </wp:positionV>
                      <wp:extent cx="419100" cy="285115"/>
                      <wp:effectExtent l="0" t="0" r="0" b="635"/>
                      <wp:wrapNone/>
                      <wp:docPr id="51" name="文本框 139"/>
                      <wp:cNvGraphicFramePr/>
                      <a:graphic xmlns:a="http://schemas.openxmlformats.org/drawingml/2006/main">
                        <a:graphicData uri="http://schemas.microsoft.com/office/word/2010/wordprocessingShape">
                          <wps:wsp>
                            <wps:cNvSpPr txBox="1"/>
                            <wps:spPr>
                              <a:xfrm>
                                <a:off x="0" y="0"/>
                                <a:ext cx="419100" cy="285115"/>
                              </a:xfrm>
                              <a:prstGeom prst="rect">
                                <a:avLst/>
                              </a:prstGeom>
                              <a:solidFill>
                                <a:srgbClr val="FFE699"/>
                              </a:solidFill>
                              <a:ln>
                                <a:noFill/>
                              </a:ln>
                            </wps:spPr>
                            <wps:txbx>
                              <w:txbxContent>
                                <w:p>
                                  <w:pPr>
                                    <w:jc w:val="both"/>
                                    <w:rPr>
                                      <w:rFonts w:hint="default" w:eastAsia="宋体"/>
                                      <w:color w:val="FFC000"/>
                                      <w:sz w:val="21"/>
                                      <w:szCs w:val="21"/>
                                      <w:lang w:val="en-US" w:eastAsia="zh-CN"/>
                                    </w:rPr>
                                  </w:pPr>
                                  <w:r>
                                    <w:rPr>
                                      <w:rFonts w:hint="eastAsia"/>
                                      <w:color w:val="FFC000"/>
                                      <w:sz w:val="21"/>
                                      <w:szCs w:val="21"/>
                                      <w:lang w:val="en-US" w:eastAsia="zh-CN"/>
                                    </w:rPr>
                                    <w:t>11#</w:t>
                                  </w:r>
                                </w:p>
                              </w:txbxContent>
                            </wps:txbx>
                            <wps:bodyPr upright="1"/>
                          </wps:wsp>
                        </a:graphicData>
                      </a:graphic>
                    </wp:anchor>
                  </w:drawing>
                </mc:Choice>
                <mc:Fallback>
                  <w:pict>
                    <v:shape id="文本框 139" o:spid="_x0000_s1026" o:spt="202" type="#_x0000_t202" style="position:absolute;left:0pt;margin-left:246.7pt;margin-top:18.15pt;height:22.45pt;width:33pt;z-index:251705344;mso-width-relative:page;mso-height-relative:page;" fillcolor="#FFE699" filled="t" stroked="f" coordsize="21600,21600" o:gfxdata="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8HZDV2gAAAAkBAAAPAAAAAAAAAAEAIAAAACIAAABkcnMvZG93&#10;bnJldi54bWxQSwECFAAUAAAACACHTuJASFx8qcUBAAB5AwAADgAAAAAAAAABACAAAAApAQAAZHJz&#10;L2Uyb0RvYy54bWxQSwUGAAAAAAYABgBZAQAAYAUAAAAA&#10;">
                      <v:fill on="t" focussize="0,0"/>
                      <v:stroke on="f"/>
                      <v:imagedata o:title=""/>
                      <o:lock v:ext="edit" aspectratio="f"/>
                      <v:textbox>
                        <w:txbxContent>
                          <w:p>
                            <w:pPr>
                              <w:jc w:val="both"/>
                              <w:rPr>
                                <w:rFonts w:hint="default" w:eastAsia="宋体"/>
                                <w:color w:val="FFC000"/>
                                <w:sz w:val="21"/>
                                <w:szCs w:val="21"/>
                                <w:lang w:val="en-US" w:eastAsia="zh-CN"/>
                              </w:rPr>
                            </w:pPr>
                            <w:r>
                              <w:rPr>
                                <w:rFonts w:hint="eastAsia"/>
                                <w:color w:val="FFC000"/>
                                <w:sz w:val="21"/>
                                <w:szCs w:val="21"/>
                                <w:lang w:val="en-US" w:eastAsia="zh-CN"/>
                              </w:rPr>
                              <w:t>11#</w:t>
                            </w:r>
                          </w:p>
                        </w:txbxContent>
                      </v:textbox>
                    </v:shape>
                  </w:pict>
                </mc:Fallback>
              </mc:AlternateContent>
            </w:r>
          </w:p>
          <w:p>
            <w:pPr>
              <w:spacing w:line="460" w:lineRule="exact"/>
              <w:ind w:firstLine="480" w:firstLineChars="200"/>
              <w:rPr>
                <w:sz w:val="24"/>
              </w:rPr>
            </w:pPr>
          </w:p>
          <w:p>
            <w:pPr>
              <w:spacing w:line="460" w:lineRule="exact"/>
              <w:ind w:firstLine="480" w:firstLineChars="200"/>
              <w:rPr>
                <w:sz w:val="24"/>
              </w:rPr>
            </w:pPr>
            <w:r>
              <w:rPr>
                <w:sz w:val="24"/>
              </w:rPr>
              <mc:AlternateContent>
                <mc:Choice Requires="wps">
                  <w:drawing>
                    <wp:anchor distT="0" distB="0" distL="114300" distR="114300" simplePos="0" relativeHeight="251704320" behindDoc="0" locked="0" layoutInCell="1" allowOverlap="1">
                      <wp:simplePos x="0" y="0"/>
                      <wp:positionH relativeFrom="column">
                        <wp:posOffset>2580640</wp:posOffset>
                      </wp:positionH>
                      <wp:positionV relativeFrom="paragraph">
                        <wp:posOffset>84455</wp:posOffset>
                      </wp:positionV>
                      <wp:extent cx="419100" cy="285115"/>
                      <wp:effectExtent l="0" t="0" r="0" b="635"/>
                      <wp:wrapNone/>
                      <wp:docPr id="50" name="文本框 138"/>
                      <wp:cNvGraphicFramePr/>
                      <a:graphic xmlns:a="http://schemas.openxmlformats.org/drawingml/2006/main">
                        <a:graphicData uri="http://schemas.microsoft.com/office/word/2010/wordprocessingShape">
                          <wps:wsp>
                            <wps:cNvSpPr txBox="1"/>
                            <wps:spPr>
                              <a:xfrm>
                                <a:off x="0" y="0"/>
                                <a:ext cx="419100" cy="285115"/>
                              </a:xfrm>
                              <a:prstGeom prst="rect">
                                <a:avLst/>
                              </a:prstGeom>
                              <a:solidFill>
                                <a:srgbClr val="FFE699"/>
                              </a:solidFill>
                              <a:ln>
                                <a:noFill/>
                              </a:ln>
                            </wps:spPr>
                            <wps:txbx>
                              <w:txbxContent>
                                <w:p>
                                  <w:pPr>
                                    <w:jc w:val="both"/>
                                    <w:rPr>
                                      <w:rFonts w:hint="default" w:eastAsia="宋体"/>
                                      <w:color w:val="FFC000"/>
                                      <w:sz w:val="21"/>
                                      <w:szCs w:val="21"/>
                                      <w:lang w:val="en-US" w:eastAsia="zh-CN"/>
                                    </w:rPr>
                                  </w:pPr>
                                  <w:r>
                                    <w:rPr>
                                      <w:rFonts w:hint="eastAsia"/>
                                      <w:color w:val="FFC000"/>
                                      <w:sz w:val="21"/>
                                      <w:szCs w:val="21"/>
                                      <w:lang w:val="en-US" w:eastAsia="zh-CN"/>
                                    </w:rPr>
                                    <w:t>10#</w:t>
                                  </w:r>
                                </w:p>
                              </w:txbxContent>
                            </wps:txbx>
                            <wps:bodyPr upright="1"/>
                          </wps:wsp>
                        </a:graphicData>
                      </a:graphic>
                    </wp:anchor>
                  </w:drawing>
                </mc:Choice>
                <mc:Fallback>
                  <w:pict>
                    <v:shape id="文本框 138" o:spid="_x0000_s1026" o:spt="202" type="#_x0000_t202" style="position:absolute;left:0pt;margin-left:203.2pt;margin-top:6.65pt;height:22.45pt;width:33pt;z-index:251704320;mso-width-relative:page;mso-height-relative:page;" fillcolor="#FFE699" filled="t" stroked="f" coordsize="21600,21600" o:gfxdata="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e0GinZAAAACQEAAA8AAAAAAAAAAQAgAAAAIgAAAGRycy9kb3du&#10;cmV2LnhtbFBLAQIUABQAAAAIAIdO4kBTOBIWxQEAAHkDAAAOAAAAAAAAAAEAIAAAACgBAABkcnMv&#10;ZTJvRG9jLnhtbFBLBQYAAAAABgAGAFkBAABfBQAAAAA=&#10;">
                      <v:fill on="t" focussize="0,0"/>
                      <v:stroke on="f"/>
                      <v:imagedata o:title=""/>
                      <o:lock v:ext="edit" aspectratio="f"/>
                      <v:textbox>
                        <w:txbxContent>
                          <w:p>
                            <w:pPr>
                              <w:jc w:val="both"/>
                              <w:rPr>
                                <w:rFonts w:hint="default" w:eastAsia="宋体"/>
                                <w:color w:val="FFC000"/>
                                <w:sz w:val="21"/>
                                <w:szCs w:val="21"/>
                                <w:lang w:val="en-US" w:eastAsia="zh-CN"/>
                              </w:rPr>
                            </w:pPr>
                            <w:r>
                              <w:rPr>
                                <w:rFonts w:hint="eastAsia"/>
                                <w:color w:val="FFC000"/>
                                <w:sz w:val="21"/>
                                <w:szCs w:val="21"/>
                                <w:lang w:val="en-US" w:eastAsia="zh-CN"/>
                              </w:rPr>
                              <w:t>10#</w:t>
                            </w:r>
                          </w:p>
                        </w:txbxContent>
                      </v:textbox>
                    </v:shape>
                  </w:pict>
                </mc:Fallback>
              </mc:AlternateContent>
            </w:r>
            <w:r>
              <w:rPr>
                <w:sz w:val="24"/>
              </w:rPr>
              <mc:AlternateContent>
                <mc:Choice Requires="wps">
                  <w:drawing>
                    <wp:anchor distT="0" distB="0" distL="114300" distR="114300" simplePos="0" relativeHeight="251701248" behindDoc="0" locked="0" layoutInCell="1" allowOverlap="1">
                      <wp:simplePos x="0" y="0"/>
                      <wp:positionH relativeFrom="column">
                        <wp:posOffset>3647440</wp:posOffset>
                      </wp:positionH>
                      <wp:positionV relativeFrom="paragraph">
                        <wp:posOffset>65405</wp:posOffset>
                      </wp:positionV>
                      <wp:extent cx="324485" cy="285115"/>
                      <wp:effectExtent l="0" t="0" r="18415" b="635"/>
                      <wp:wrapNone/>
                      <wp:docPr id="47" name="文本框 135"/>
                      <wp:cNvGraphicFramePr/>
                      <a:graphic xmlns:a="http://schemas.openxmlformats.org/drawingml/2006/main">
                        <a:graphicData uri="http://schemas.microsoft.com/office/word/2010/wordprocessingShape">
                          <wps:wsp>
                            <wps:cNvSpPr txBox="1"/>
                            <wps:spPr>
                              <a:xfrm>
                                <a:off x="0" y="0"/>
                                <a:ext cx="324485" cy="285115"/>
                              </a:xfrm>
                              <a:prstGeom prst="rect">
                                <a:avLst/>
                              </a:prstGeom>
                              <a:solidFill>
                                <a:srgbClr val="FFE699"/>
                              </a:solidFill>
                              <a:ln>
                                <a:noFill/>
                              </a:ln>
                            </wps:spPr>
                            <wps:txbx>
                              <w:txbxContent>
                                <w:p>
                                  <w:pPr>
                                    <w:rPr>
                                      <w:rFonts w:hint="default" w:eastAsia="宋体"/>
                                      <w:color w:val="FFC000"/>
                                      <w:sz w:val="21"/>
                                      <w:szCs w:val="21"/>
                                      <w:lang w:val="en-US" w:eastAsia="zh-CN"/>
                                    </w:rPr>
                                  </w:pPr>
                                  <w:r>
                                    <w:rPr>
                                      <w:rFonts w:hint="eastAsia"/>
                                      <w:color w:val="FFC000"/>
                                      <w:sz w:val="21"/>
                                      <w:szCs w:val="21"/>
                                      <w:lang w:val="en-US" w:eastAsia="zh-CN"/>
                                    </w:rPr>
                                    <w:t>6#</w:t>
                                  </w:r>
                                </w:p>
                              </w:txbxContent>
                            </wps:txbx>
                            <wps:bodyPr upright="1"/>
                          </wps:wsp>
                        </a:graphicData>
                      </a:graphic>
                    </wp:anchor>
                  </w:drawing>
                </mc:Choice>
                <mc:Fallback>
                  <w:pict>
                    <v:shape id="文本框 135" o:spid="_x0000_s1026" o:spt="202" type="#_x0000_t202" style="position:absolute;left:0pt;margin-left:287.2pt;margin-top:5.15pt;height:22.45pt;width:25.55pt;z-index:251701248;mso-width-relative:page;mso-height-relative:page;" fillcolor="#FFE699" filled="t" stroked="f" coordsize="21600,21600" o:gfxdata="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YEustgAAAAJAQAADwAAAAAAAAABACAAAAAiAAAAZHJzL2Rv&#10;d25yZXYueG1sUEsBAhQAFAAAAAgAh07iQA7bQxLIAQAAeQMAAA4AAAAAAAAAAQAgAAAAJwEAAGRy&#10;cy9lMm9Eb2MueG1sUEsFBgAAAAAGAAYAWQEAAGEFAAAAAA==&#10;">
                      <v:fill on="t" focussize="0,0"/>
                      <v:stroke on="f"/>
                      <v:imagedata o:title=""/>
                      <o:lock v:ext="edit" aspectratio="f"/>
                      <v:textbox>
                        <w:txbxContent>
                          <w:p>
                            <w:pPr>
                              <w:rPr>
                                <w:rFonts w:hint="default" w:eastAsia="宋体"/>
                                <w:color w:val="FFC000"/>
                                <w:sz w:val="21"/>
                                <w:szCs w:val="21"/>
                                <w:lang w:val="en-US" w:eastAsia="zh-CN"/>
                              </w:rPr>
                            </w:pPr>
                            <w:r>
                              <w:rPr>
                                <w:rFonts w:hint="eastAsia"/>
                                <w:color w:val="FFC000"/>
                                <w:sz w:val="21"/>
                                <w:szCs w:val="21"/>
                                <w:lang w:val="en-US" w:eastAsia="zh-CN"/>
                              </w:rPr>
                              <w:t>6#</w:t>
                            </w:r>
                          </w:p>
                        </w:txbxContent>
                      </v:textbox>
                    </v:shape>
                  </w:pict>
                </mc:Fallback>
              </mc:AlternateContent>
            </w:r>
          </w:p>
          <w:p>
            <w:pPr>
              <w:spacing w:line="460" w:lineRule="exact"/>
              <w:ind w:firstLine="480" w:firstLineChars="200"/>
              <w:rPr>
                <w:sz w:val="24"/>
              </w:rPr>
            </w:pPr>
            <w:r>
              <w:rPr>
                <w:sz w:val="24"/>
              </w:rPr>
              <mc:AlternateContent>
                <mc:Choice Requires="wps">
                  <w:drawing>
                    <wp:anchor distT="0" distB="0" distL="114300" distR="114300" simplePos="0" relativeHeight="251703296" behindDoc="0" locked="0" layoutInCell="1" allowOverlap="1">
                      <wp:simplePos x="0" y="0"/>
                      <wp:positionH relativeFrom="column">
                        <wp:posOffset>1343660</wp:posOffset>
                      </wp:positionH>
                      <wp:positionV relativeFrom="paragraph">
                        <wp:posOffset>230505</wp:posOffset>
                      </wp:positionV>
                      <wp:extent cx="465455" cy="285115"/>
                      <wp:effectExtent l="0" t="0" r="10795" b="635"/>
                      <wp:wrapNone/>
                      <wp:docPr id="49" name="文本框 137"/>
                      <wp:cNvGraphicFramePr/>
                      <a:graphic xmlns:a="http://schemas.openxmlformats.org/drawingml/2006/main">
                        <a:graphicData uri="http://schemas.microsoft.com/office/word/2010/wordprocessingShape">
                          <wps:wsp>
                            <wps:cNvSpPr txBox="1"/>
                            <wps:spPr>
                              <a:xfrm>
                                <a:off x="0" y="0"/>
                                <a:ext cx="465455" cy="285115"/>
                              </a:xfrm>
                              <a:prstGeom prst="rect">
                                <a:avLst/>
                              </a:prstGeom>
                              <a:solidFill>
                                <a:srgbClr val="FFE699"/>
                              </a:solidFill>
                              <a:ln>
                                <a:noFill/>
                              </a:ln>
                            </wps:spPr>
                            <wps:txbx>
                              <w:txbxContent>
                                <w:p>
                                  <w:pPr>
                                    <w:ind w:firstLine="210" w:firstLineChars="100"/>
                                    <w:rPr>
                                      <w:rFonts w:hint="default" w:eastAsia="宋体"/>
                                      <w:color w:val="FFC000"/>
                                      <w:sz w:val="21"/>
                                      <w:szCs w:val="21"/>
                                      <w:lang w:val="en-US" w:eastAsia="zh-CN"/>
                                    </w:rPr>
                                  </w:pPr>
                                  <w:r>
                                    <w:rPr>
                                      <w:rFonts w:hint="eastAsia"/>
                                      <w:color w:val="FFC000"/>
                                      <w:sz w:val="21"/>
                                      <w:szCs w:val="21"/>
                                      <w:lang w:val="en-US" w:eastAsia="zh-CN"/>
                                    </w:rPr>
                                    <w:t>9#</w:t>
                                  </w:r>
                                </w:p>
                              </w:txbxContent>
                            </wps:txbx>
                            <wps:bodyPr upright="1"/>
                          </wps:wsp>
                        </a:graphicData>
                      </a:graphic>
                    </wp:anchor>
                  </w:drawing>
                </mc:Choice>
                <mc:Fallback>
                  <w:pict>
                    <v:shape id="文本框 137" o:spid="_x0000_s1026" o:spt="202" type="#_x0000_t202" style="position:absolute;left:0pt;margin-left:105.8pt;margin-top:18.15pt;height:22.45pt;width:36.65pt;z-index:251703296;mso-width-relative:page;mso-height-relative:page;" fillcolor="#FFE699" filled="t" stroked="f" coordsize="21600,21600" o:gfxdata="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ERkER2QAAAAkBAAAPAAAAAAAAAAEAIAAAACIAAABkcnMvZG93&#10;bnJldi54bWxQSwECFAAUAAAACACHTuJAD+zjD8YBAAB5AwAADgAAAAAAAAABACAAAAAoAQAAZHJz&#10;L2Uyb0RvYy54bWxQSwUGAAAAAAYABgBZAQAAYAUAAAAA&#10;">
                      <v:fill on="t" focussize="0,0"/>
                      <v:stroke on="f"/>
                      <v:imagedata o:title=""/>
                      <o:lock v:ext="edit" aspectratio="f"/>
                      <v:textbox>
                        <w:txbxContent>
                          <w:p>
                            <w:pPr>
                              <w:ind w:firstLine="210" w:firstLineChars="100"/>
                              <w:rPr>
                                <w:rFonts w:hint="default" w:eastAsia="宋体"/>
                                <w:color w:val="FFC000"/>
                                <w:sz w:val="21"/>
                                <w:szCs w:val="21"/>
                                <w:lang w:val="en-US" w:eastAsia="zh-CN"/>
                              </w:rPr>
                            </w:pPr>
                            <w:r>
                              <w:rPr>
                                <w:rFonts w:hint="eastAsia"/>
                                <w:color w:val="FFC000"/>
                                <w:sz w:val="21"/>
                                <w:szCs w:val="21"/>
                                <w:lang w:val="en-US" w:eastAsia="zh-CN"/>
                              </w:rPr>
                              <w:t>9#</w:t>
                            </w:r>
                          </w:p>
                        </w:txbxContent>
                      </v:textbox>
                    </v:shape>
                  </w:pict>
                </mc:Fallback>
              </mc:AlternateContent>
            </w:r>
            <w:r>
              <w:rPr>
                <w:sz w:val="24"/>
              </w:rPr>
              <mc:AlternateContent>
                <mc:Choice Requires="wps">
                  <w:drawing>
                    <wp:anchor distT="0" distB="0" distL="114300" distR="114300" simplePos="0" relativeHeight="251700224" behindDoc="0" locked="0" layoutInCell="1" allowOverlap="1">
                      <wp:simplePos x="0" y="0"/>
                      <wp:positionH relativeFrom="column">
                        <wp:posOffset>3152140</wp:posOffset>
                      </wp:positionH>
                      <wp:positionV relativeFrom="paragraph">
                        <wp:posOffset>259080</wp:posOffset>
                      </wp:positionV>
                      <wp:extent cx="361950" cy="285115"/>
                      <wp:effectExtent l="0" t="0" r="0" b="635"/>
                      <wp:wrapNone/>
                      <wp:docPr id="46" name="文本框 134"/>
                      <wp:cNvGraphicFramePr/>
                      <a:graphic xmlns:a="http://schemas.openxmlformats.org/drawingml/2006/main">
                        <a:graphicData uri="http://schemas.microsoft.com/office/word/2010/wordprocessingShape">
                          <wps:wsp>
                            <wps:cNvSpPr txBox="1"/>
                            <wps:spPr>
                              <a:xfrm>
                                <a:off x="0" y="0"/>
                                <a:ext cx="361950" cy="285115"/>
                              </a:xfrm>
                              <a:prstGeom prst="rect">
                                <a:avLst/>
                              </a:prstGeom>
                              <a:solidFill>
                                <a:srgbClr val="FFE699"/>
                              </a:solidFill>
                              <a:ln>
                                <a:noFill/>
                              </a:ln>
                            </wps:spPr>
                            <wps:txbx>
                              <w:txbxContent>
                                <w:p>
                                  <w:pPr>
                                    <w:rPr>
                                      <w:rFonts w:hint="default" w:eastAsia="宋体"/>
                                      <w:color w:val="FFC000"/>
                                      <w:sz w:val="21"/>
                                      <w:szCs w:val="21"/>
                                      <w:lang w:val="en-US" w:eastAsia="zh-CN"/>
                                    </w:rPr>
                                  </w:pPr>
                                  <w:r>
                                    <w:rPr>
                                      <w:rFonts w:hint="eastAsia"/>
                                      <w:color w:val="FFC000"/>
                                      <w:sz w:val="21"/>
                                      <w:szCs w:val="21"/>
                                      <w:lang w:val="en-US" w:eastAsia="zh-CN"/>
                                    </w:rPr>
                                    <w:t>7#</w:t>
                                  </w:r>
                                </w:p>
                              </w:txbxContent>
                            </wps:txbx>
                            <wps:bodyPr upright="1"/>
                          </wps:wsp>
                        </a:graphicData>
                      </a:graphic>
                    </wp:anchor>
                  </w:drawing>
                </mc:Choice>
                <mc:Fallback>
                  <w:pict>
                    <v:shape id="文本框 134" o:spid="_x0000_s1026" o:spt="202" type="#_x0000_t202" style="position:absolute;left:0pt;margin-left:248.2pt;margin-top:20.4pt;height:22.45pt;width:28.5pt;z-index:251700224;mso-width-relative:page;mso-height-relative:page;" fillcolor="#FFE699" filled="t" stroked="f" coordsize="21600,21600" o:gfxdata="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Oo7Rd2QAAAAkBAAAPAAAAAAAAAAEAIAAAACIAAABkcnMvZG93&#10;bnJldi54bWxQSwECFAAUAAAACACHTuJATFo7U8YBAAB5AwAADgAAAAAAAAABACAAAAAoAQAAZHJz&#10;L2Uyb0RvYy54bWxQSwUGAAAAAAYABgBZAQAAYAUAAAAA&#10;">
                      <v:fill on="t" focussize="0,0"/>
                      <v:stroke on="f"/>
                      <v:imagedata o:title=""/>
                      <o:lock v:ext="edit" aspectratio="f"/>
                      <v:textbox>
                        <w:txbxContent>
                          <w:p>
                            <w:pPr>
                              <w:rPr>
                                <w:rFonts w:hint="default" w:eastAsia="宋体"/>
                                <w:color w:val="FFC000"/>
                                <w:sz w:val="21"/>
                                <w:szCs w:val="21"/>
                                <w:lang w:val="en-US" w:eastAsia="zh-CN"/>
                              </w:rPr>
                            </w:pPr>
                            <w:r>
                              <w:rPr>
                                <w:rFonts w:hint="eastAsia"/>
                                <w:color w:val="FFC000"/>
                                <w:sz w:val="21"/>
                                <w:szCs w:val="21"/>
                                <w:lang w:val="en-US" w:eastAsia="zh-CN"/>
                              </w:rPr>
                              <w:t>7#</w:t>
                            </w:r>
                          </w:p>
                        </w:txbxContent>
                      </v:textbox>
                    </v:shape>
                  </w:pict>
                </mc:Fallback>
              </mc:AlternateContent>
            </w:r>
          </w:p>
          <w:p>
            <w:pPr>
              <w:spacing w:line="460" w:lineRule="exact"/>
              <w:ind w:firstLine="480" w:firstLineChars="200"/>
              <w:rPr>
                <w:sz w:val="24"/>
              </w:rPr>
            </w:pPr>
            <w:r>
              <w:rPr>
                <w:sz w:val="24"/>
              </w:rPr>
              <mc:AlternateContent>
                <mc:Choice Requires="wps">
                  <w:drawing>
                    <wp:anchor distT="0" distB="0" distL="114300" distR="114300" simplePos="0" relativeHeight="251702272" behindDoc="0" locked="0" layoutInCell="1" allowOverlap="1">
                      <wp:simplePos x="0" y="0"/>
                      <wp:positionH relativeFrom="column">
                        <wp:posOffset>2590165</wp:posOffset>
                      </wp:positionH>
                      <wp:positionV relativeFrom="paragraph">
                        <wp:posOffset>100330</wp:posOffset>
                      </wp:positionV>
                      <wp:extent cx="343535" cy="285115"/>
                      <wp:effectExtent l="0" t="0" r="18415" b="635"/>
                      <wp:wrapNone/>
                      <wp:docPr id="48" name="文本框 136"/>
                      <wp:cNvGraphicFramePr/>
                      <a:graphic xmlns:a="http://schemas.openxmlformats.org/drawingml/2006/main">
                        <a:graphicData uri="http://schemas.microsoft.com/office/word/2010/wordprocessingShape">
                          <wps:wsp>
                            <wps:cNvSpPr txBox="1"/>
                            <wps:spPr>
                              <a:xfrm>
                                <a:off x="0" y="0"/>
                                <a:ext cx="343535" cy="285115"/>
                              </a:xfrm>
                              <a:prstGeom prst="rect">
                                <a:avLst/>
                              </a:prstGeom>
                              <a:solidFill>
                                <a:srgbClr val="FFE699"/>
                              </a:solidFill>
                              <a:ln>
                                <a:noFill/>
                              </a:ln>
                            </wps:spPr>
                            <wps:txbx>
                              <w:txbxContent>
                                <w:p>
                                  <w:pPr>
                                    <w:rPr>
                                      <w:rFonts w:hint="default" w:eastAsia="宋体"/>
                                      <w:color w:val="FFC000"/>
                                      <w:sz w:val="21"/>
                                      <w:szCs w:val="21"/>
                                      <w:lang w:val="en-US" w:eastAsia="zh-CN"/>
                                    </w:rPr>
                                  </w:pPr>
                                  <w:r>
                                    <w:rPr>
                                      <w:rFonts w:hint="eastAsia"/>
                                      <w:color w:val="FFC000"/>
                                      <w:sz w:val="21"/>
                                      <w:szCs w:val="21"/>
                                      <w:lang w:val="en-US" w:eastAsia="zh-CN"/>
                                    </w:rPr>
                                    <w:t>8#</w:t>
                                  </w:r>
                                </w:p>
                              </w:txbxContent>
                            </wps:txbx>
                            <wps:bodyPr upright="1"/>
                          </wps:wsp>
                        </a:graphicData>
                      </a:graphic>
                    </wp:anchor>
                  </w:drawing>
                </mc:Choice>
                <mc:Fallback>
                  <w:pict>
                    <v:shape id="文本框 136" o:spid="_x0000_s1026" o:spt="202" type="#_x0000_t202" style="position:absolute;left:0pt;margin-left:203.95pt;margin-top:7.9pt;height:22.45pt;width:27.05pt;z-index:251702272;mso-width-relative:page;mso-height-relative:page;" fillcolor="#FFE699" filled="t" stroked="f" coordsize="21600,21600" o:gfxdata="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Kpfv/jYAAAACQEAAA8AAAAAAAAAAQAgAAAAIgAAAGRycy9kb3du&#10;cmV2LnhtbFBLAQIUABQAAAAIAIdO4kAp9wyZxgEAAHkDAAAOAAAAAAAAAAEAIAAAACcBAABkcnMv&#10;ZTJvRG9jLnhtbFBLBQYAAAAABgAGAFkBAABfBQAAAAA=&#10;">
                      <v:fill on="t" focussize="0,0"/>
                      <v:stroke on="f"/>
                      <v:imagedata o:title=""/>
                      <o:lock v:ext="edit" aspectratio="f"/>
                      <v:textbox>
                        <w:txbxContent>
                          <w:p>
                            <w:pPr>
                              <w:rPr>
                                <w:rFonts w:hint="default" w:eastAsia="宋体"/>
                                <w:color w:val="FFC000"/>
                                <w:sz w:val="21"/>
                                <w:szCs w:val="21"/>
                                <w:lang w:val="en-US" w:eastAsia="zh-CN"/>
                              </w:rPr>
                            </w:pPr>
                            <w:r>
                              <w:rPr>
                                <w:rFonts w:hint="eastAsia"/>
                                <w:color w:val="FFC000"/>
                                <w:sz w:val="21"/>
                                <w:szCs w:val="21"/>
                                <w:lang w:val="en-US" w:eastAsia="zh-CN"/>
                              </w:rPr>
                              <w:t>8#</w:t>
                            </w:r>
                          </w:p>
                        </w:txbxContent>
                      </v:textbox>
                    </v:shape>
                  </w:pict>
                </mc:Fallback>
              </mc:AlternateContent>
            </w:r>
          </w:p>
          <w:p>
            <w:pPr>
              <w:spacing w:line="460" w:lineRule="exact"/>
              <w:ind w:firstLine="480" w:firstLineChars="200"/>
              <w:rPr>
                <w:sz w:val="24"/>
              </w:rPr>
            </w:pPr>
          </w:p>
          <w:p>
            <w:pPr>
              <w:spacing w:line="460" w:lineRule="exact"/>
              <w:ind w:firstLine="480" w:firstLineChars="200"/>
              <w:rPr>
                <w:sz w:val="24"/>
              </w:rPr>
            </w:pPr>
            <w:r>
              <w:rPr>
                <w:sz w:val="24"/>
              </w:rPr>
              <mc:AlternateContent>
                <mc:Choice Requires="wps">
                  <w:drawing>
                    <wp:anchor distT="0" distB="0" distL="114300" distR="114300" simplePos="0" relativeHeight="251706368" behindDoc="0" locked="0" layoutInCell="1" allowOverlap="1">
                      <wp:simplePos x="0" y="0"/>
                      <wp:positionH relativeFrom="column">
                        <wp:posOffset>4066540</wp:posOffset>
                      </wp:positionH>
                      <wp:positionV relativeFrom="paragraph">
                        <wp:posOffset>49530</wp:posOffset>
                      </wp:positionV>
                      <wp:extent cx="419100" cy="285115"/>
                      <wp:effectExtent l="0" t="0" r="0" b="635"/>
                      <wp:wrapNone/>
                      <wp:docPr id="52" name="文本框 140"/>
                      <wp:cNvGraphicFramePr/>
                      <a:graphic xmlns:a="http://schemas.openxmlformats.org/drawingml/2006/main">
                        <a:graphicData uri="http://schemas.microsoft.com/office/word/2010/wordprocessingShape">
                          <wps:wsp>
                            <wps:cNvSpPr txBox="1"/>
                            <wps:spPr>
                              <a:xfrm>
                                <a:off x="0" y="0"/>
                                <a:ext cx="419100" cy="285115"/>
                              </a:xfrm>
                              <a:prstGeom prst="rect">
                                <a:avLst/>
                              </a:prstGeom>
                              <a:solidFill>
                                <a:srgbClr val="FFE699"/>
                              </a:solidFill>
                              <a:ln>
                                <a:noFill/>
                              </a:ln>
                            </wps:spPr>
                            <wps:txbx>
                              <w:txbxContent>
                                <w:p>
                                  <w:pPr>
                                    <w:jc w:val="both"/>
                                    <w:rPr>
                                      <w:rFonts w:hint="default" w:eastAsia="宋体"/>
                                      <w:color w:val="FFC000"/>
                                      <w:sz w:val="21"/>
                                      <w:szCs w:val="21"/>
                                      <w:lang w:val="en-US" w:eastAsia="zh-CN"/>
                                    </w:rPr>
                                  </w:pPr>
                                  <w:r>
                                    <w:rPr>
                                      <w:rFonts w:hint="eastAsia"/>
                                      <w:color w:val="FFC000"/>
                                      <w:sz w:val="21"/>
                                      <w:szCs w:val="21"/>
                                      <w:lang w:val="en-US" w:eastAsia="zh-CN"/>
                                    </w:rPr>
                                    <w:t>12#</w:t>
                                  </w:r>
                                </w:p>
                              </w:txbxContent>
                            </wps:txbx>
                            <wps:bodyPr upright="1"/>
                          </wps:wsp>
                        </a:graphicData>
                      </a:graphic>
                    </wp:anchor>
                  </w:drawing>
                </mc:Choice>
                <mc:Fallback>
                  <w:pict>
                    <v:shape id="文本框 140" o:spid="_x0000_s1026" o:spt="202" type="#_x0000_t202" style="position:absolute;left:0pt;margin-left:320.2pt;margin-top:3.9pt;height:22.45pt;width:33pt;z-index:251706368;mso-width-relative:page;mso-height-relative:page;" fillcolor="#FFE699" filled="t" stroked="f" coordsize="21600,21600" o:gfxdata="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zQKXfXAAAACAEAAA8AAAAAAAAAAQAgAAAAIgAAAGRycy9kb3ducmV2&#10;LnhtbFBLAQIUABQAAAAIAIdO4kAqwzRMxAEAAHkDAAAOAAAAAAAAAAEAIAAAACYBAABkcnMvZTJv&#10;RG9jLnhtbFBLBQYAAAAABgAGAFkBAABcBQAAAAA=&#10;">
                      <v:fill on="t" focussize="0,0"/>
                      <v:stroke on="f"/>
                      <v:imagedata o:title=""/>
                      <o:lock v:ext="edit" aspectratio="f"/>
                      <v:textbox>
                        <w:txbxContent>
                          <w:p>
                            <w:pPr>
                              <w:jc w:val="both"/>
                              <w:rPr>
                                <w:rFonts w:hint="default" w:eastAsia="宋体"/>
                                <w:color w:val="FFC000"/>
                                <w:sz w:val="21"/>
                                <w:szCs w:val="21"/>
                                <w:lang w:val="en-US" w:eastAsia="zh-CN"/>
                              </w:rPr>
                            </w:pPr>
                            <w:r>
                              <w:rPr>
                                <w:rFonts w:hint="eastAsia"/>
                                <w:color w:val="FFC000"/>
                                <w:sz w:val="21"/>
                                <w:szCs w:val="21"/>
                                <w:lang w:val="en-US" w:eastAsia="zh-CN"/>
                              </w:rPr>
                              <w:t>12#</w:t>
                            </w:r>
                          </w:p>
                        </w:txbxContent>
                      </v:textbox>
                    </v:shape>
                  </w:pict>
                </mc:Fallback>
              </mc:AlternateContent>
            </w:r>
          </w:p>
          <w:p>
            <w:pPr>
              <w:spacing w:line="460" w:lineRule="exact"/>
              <w:ind w:firstLine="480" w:firstLineChars="200"/>
              <w:rPr>
                <w:sz w:val="24"/>
              </w:rPr>
            </w:pPr>
          </w:p>
          <w:p>
            <w:pPr>
              <w:spacing w:line="460" w:lineRule="exact"/>
              <w:ind w:firstLine="420" w:firstLineChars="200"/>
              <w:rPr>
                <w:szCs w:val="21"/>
              </w:rPr>
            </w:pPr>
          </w:p>
          <w:p>
            <w:pPr>
              <w:spacing w:line="460" w:lineRule="exact"/>
              <w:ind w:firstLine="3477" w:firstLineChars="1656"/>
              <w:rPr>
                <w:rFonts w:hint="eastAsia"/>
                <w:b/>
                <w:szCs w:val="21"/>
              </w:rPr>
            </w:pPr>
          </w:p>
          <w:p>
            <w:pPr>
              <w:spacing w:line="460" w:lineRule="exact"/>
              <w:ind w:firstLine="3477" w:firstLineChars="1656"/>
              <w:rPr>
                <w:b/>
                <w:sz w:val="24"/>
              </w:rPr>
            </w:pPr>
            <w:r>
              <w:rPr>
                <w:rFonts w:hint="eastAsia"/>
                <w:b/>
                <w:szCs w:val="21"/>
              </w:rPr>
              <w:t>图8-1保德首站监测点位图</w:t>
            </w:r>
          </w:p>
          <w:p>
            <w:pPr>
              <w:spacing w:line="460" w:lineRule="exact"/>
              <w:rPr>
                <w:sz w:val="24"/>
              </w:rPr>
            </w:pPr>
          </w:p>
          <w:p>
            <w:pPr>
              <w:spacing w:line="460" w:lineRule="exact"/>
              <w:ind w:firstLine="480" w:firstLineChars="200"/>
              <w:rPr>
                <w:sz w:val="24"/>
              </w:rPr>
            </w:pPr>
            <w:r>
              <w:rPr>
                <w:sz w:val="24"/>
              </w:rPr>
              <w:t>（4）噪声监测结果分析</w:t>
            </w:r>
          </w:p>
          <w:p>
            <w:pPr>
              <w:spacing w:line="460" w:lineRule="exact"/>
              <w:ind w:firstLine="482"/>
              <w:rPr>
                <w:sz w:val="24"/>
              </w:rPr>
            </w:pPr>
            <w:r>
              <w:rPr>
                <w:sz w:val="24"/>
              </w:rPr>
              <w:t>噪声监测结果见表8-2。</w:t>
            </w:r>
          </w:p>
          <w:p>
            <w:pPr>
              <w:spacing w:line="460" w:lineRule="exact"/>
              <w:jc w:val="center"/>
              <w:rPr>
                <w:b/>
                <w:szCs w:val="21"/>
              </w:rPr>
            </w:pPr>
            <w:r>
              <w:rPr>
                <w:b/>
                <w:szCs w:val="21"/>
              </w:rPr>
              <w:t>表8-2噪声监测结果统计表单位：dB(A)</w:t>
            </w:r>
          </w:p>
          <w:tbl>
            <w:tblPr>
              <w:tblStyle w:val="32"/>
              <w:tblW w:w="89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1"/>
              <w:gridCol w:w="591"/>
              <w:gridCol w:w="498"/>
              <w:gridCol w:w="944"/>
              <w:gridCol w:w="628"/>
              <w:gridCol w:w="628"/>
              <w:gridCol w:w="627"/>
              <w:gridCol w:w="628"/>
              <w:gridCol w:w="699"/>
              <w:gridCol w:w="556"/>
              <w:gridCol w:w="628"/>
              <w:gridCol w:w="628"/>
              <w:gridCol w:w="627"/>
              <w:gridCol w:w="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监测日期</w:t>
                  </w:r>
                </w:p>
              </w:tc>
              <w:tc>
                <w:tcPr>
                  <w:tcW w:w="591" w:type="dxa"/>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w:t>
                  </w:r>
                </w:p>
                <w:p>
                  <w:pPr>
                    <w:adjustRightInd w:val="0"/>
                    <w:snapToGrid w:val="0"/>
                    <w:jc w:val="center"/>
                    <w:rPr>
                      <w:szCs w:val="21"/>
                    </w:rPr>
                  </w:pPr>
                  <w:r>
                    <w:rPr>
                      <w:rFonts w:hint="eastAsia"/>
                      <w:szCs w:val="21"/>
                    </w:rPr>
                    <w:t>地点</w:t>
                  </w:r>
                </w:p>
              </w:tc>
              <w:tc>
                <w:tcPr>
                  <w:tcW w:w="1442" w:type="dxa"/>
                  <w:gridSpan w:val="2"/>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监测点位</w:t>
                  </w:r>
                </w:p>
              </w:tc>
              <w:tc>
                <w:tcPr>
                  <w:tcW w:w="3210" w:type="dxa"/>
                  <w:gridSpan w:val="5"/>
                  <w:tcBorders>
                    <w:top w:val="single" w:color="auto" w:sz="4" w:space="0"/>
                    <w:left w:val="single" w:color="auto" w:sz="4" w:space="0"/>
                    <w:right w:val="single" w:color="auto" w:sz="4" w:space="0"/>
                  </w:tcBorders>
                  <w:vAlign w:val="center"/>
                </w:tcPr>
                <w:p>
                  <w:pPr>
                    <w:adjustRightInd w:val="0"/>
                    <w:snapToGrid w:val="0"/>
                    <w:ind w:right="-193" w:rightChars="-92"/>
                    <w:jc w:val="center"/>
                    <w:rPr>
                      <w:szCs w:val="21"/>
                    </w:rPr>
                  </w:pPr>
                  <w:r>
                    <w:rPr>
                      <w:szCs w:val="21"/>
                    </w:rPr>
                    <w:t>昼间</w:t>
                  </w:r>
                </w:p>
              </w:tc>
              <w:tc>
                <w:tcPr>
                  <w:tcW w:w="3074" w:type="dxa"/>
                  <w:gridSpan w:val="5"/>
                  <w:tcBorders>
                    <w:top w:val="single" w:color="auto" w:sz="4" w:space="0"/>
                    <w:left w:val="single" w:color="auto" w:sz="4" w:space="0"/>
                    <w:bottom w:val="single" w:color="auto" w:sz="4" w:space="0"/>
                    <w:right w:val="single" w:color="auto" w:sz="4" w:space="0"/>
                  </w:tcBorders>
                  <w:vAlign w:val="center"/>
                </w:tcPr>
                <w:p>
                  <w:pPr>
                    <w:adjustRightInd w:val="0"/>
                    <w:snapToGrid w:val="0"/>
                    <w:ind w:left="-178" w:leftChars="-85"/>
                    <w:jc w:val="center"/>
                    <w:rPr>
                      <w:szCs w:val="21"/>
                    </w:rPr>
                  </w:pPr>
                  <w:r>
                    <w:rPr>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591" w:type="dxa"/>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1442" w:type="dxa"/>
                  <w:gridSpan w:val="2"/>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6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Leq</w:t>
                  </w:r>
                </w:p>
              </w:tc>
              <w:tc>
                <w:tcPr>
                  <w:tcW w:w="6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L</w:t>
                  </w:r>
                  <w:r>
                    <w:rPr>
                      <w:szCs w:val="21"/>
                      <w:vertAlign w:val="subscript"/>
                    </w:rPr>
                    <w:t>90</w:t>
                  </w:r>
                </w:p>
              </w:tc>
              <w:tc>
                <w:tcPr>
                  <w:tcW w:w="62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L</w:t>
                  </w:r>
                  <w:r>
                    <w:rPr>
                      <w:szCs w:val="21"/>
                      <w:vertAlign w:val="subscript"/>
                    </w:rPr>
                    <w:t>50</w:t>
                  </w:r>
                </w:p>
              </w:tc>
              <w:tc>
                <w:tcPr>
                  <w:tcW w:w="6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L</w:t>
                  </w:r>
                  <w:r>
                    <w:rPr>
                      <w:szCs w:val="21"/>
                      <w:vertAlign w:val="subscript"/>
                    </w:rPr>
                    <w:t>10</w:t>
                  </w:r>
                </w:p>
              </w:tc>
              <w:tc>
                <w:tcPr>
                  <w:tcW w:w="69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SD</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szCs w:val="21"/>
                    </w:rPr>
                    <w:t>Leq</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szCs w:val="21"/>
                    </w:rPr>
                    <w:t>L</w:t>
                  </w:r>
                  <w:r>
                    <w:rPr>
                      <w:szCs w:val="21"/>
                      <w:vertAlign w:val="subscript"/>
                    </w:rPr>
                    <w:t>90</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szCs w:val="21"/>
                    </w:rPr>
                    <w:t>L</w:t>
                  </w:r>
                  <w:r>
                    <w:rPr>
                      <w:szCs w:val="21"/>
                      <w:vertAlign w:val="subscript"/>
                    </w:rPr>
                    <w:t>50</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szCs w:val="21"/>
                    </w:rPr>
                    <w:t>L</w:t>
                  </w:r>
                  <w:r>
                    <w:rPr>
                      <w:szCs w:val="21"/>
                      <w:vertAlign w:val="subscript"/>
                    </w:rPr>
                    <w:t>10</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rFonts w:hint="eastAsia"/>
                      <w:szCs w:val="21"/>
                    </w:rPr>
                    <w:t>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restart"/>
                  <w:tcBorders>
                    <w:left w:val="single" w:color="auto" w:sz="4" w:space="0"/>
                    <w:right w:val="single" w:color="auto" w:sz="4" w:space="0"/>
                  </w:tcBorders>
                  <w:vAlign w:val="center"/>
                </w:tcPr>
                <w:p>
                  <w:pPr>
                    <w:spacing w:line="240" w:lineRule="exact"/>
                    <w:jc w:val="center"/>
                    <w:rPr>
                      <w:szCs w:val="21"/>
                    </w:rPr>
                  </w:pPr>
                  <w:r>
                    <w:rPr>
                      <w:rFonts w:hint="eastAsia"/>
                      <w:szCs w:val="21"/>
                    </w:rPr>
                    <w:t>7月</w:t>
                  </w:r>
                </w:p>
                <w:p>
                  <w:pPr>
                    <w:spacing w:line="240" w:lineRule="exact"/>
                    <w:jc w:val="center"/>
                    <w:rPr>
                      <w:szCs w:val="21"/>
                    </w:rPr>
                  </w:pPr>
                  <w:r>
                    <w:rPr>
                      <w:rFonts w:hint="eastAsia"/>
                      <w:szCs w:val="21"/>
                    </w:rPr>
                    <w:t>7日</w:t>
                  </w:r>
                </w:p>
              </w:tc>
              <w:tc>
                <w:tcPr>
                  <w:tcW w:w="591" w:type="dxa"/>
                  <w:vMerge w:val="restart"/>
                  <w:tcBorders>
                    <w:left w:val="single" w:color="auto" w:sz="4" w:space="0"/>
                    <w:right w:val="single" w:color="auto" w:sz="4" w:space="0"/>
                  </w:tcBorders>
                  <w:vAlign w:val="center"/>
                </w:tcPr>
                <w:p>
                  <w:pPr>
                    <w:spacing w:line="240" w:lineRule="exact"/>
                    <w:jc w:val="center"/>
                  </w:pPr>
                  <w:r>
                    <w:rPr>
                      <w:rFonts w:hint="eastAsia"/>
                      <w:szCs w:val="21"/>
                    </w:rPr>
                    <w:t>保德首站</w:t>
                  </w: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6</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厂界东</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51.1</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53.2</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0.9</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40.9</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39.1</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39.6</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41.0</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7</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54.9</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54.0</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55.1</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1.0</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44.0</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45.2</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8</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52.4</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54.7</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1.0</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37.3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39.6</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42.0</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9</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厂界西</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53.7</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54.3</w:t>
                  </w:r>
                </w:p>
                <w:p>
                  <w:pPr>
                    <w:jc w:val="center"/>
                    <w:rPr>
                      <w:color w:val="000000"/>
                      <w:w w:val="90"/>
                      <w:szCs w:val="21"/>
                    </w:rPr>
                  </w:pP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55.0</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0.9</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41.6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42.8</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43.5</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10</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55.4</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54.7</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55.4</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56.1</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1.2</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45.9</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40.6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42.6</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45.5</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11</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51.7</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51.0</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52.4</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1.4</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44.0</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38.8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41.0</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43.3</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12</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山头村</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54.0</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54.7</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55.5</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1.5</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43.0</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38.8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40.6</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43.2</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restart"/>
                  <w:tcBorders>
                    <w:left w:val="single" w:color="auto" w:sz="4" w:space="0"/>
                    <w:right w:val="single" w:color="auto" w:sz="4" w:space="0"/>
                  </w:tcBorders>
                  <w:vAlign w:val="center"/>
                </w:tcPr>
                <w:p>
                  <w:pPr>
                    <w:spacing w:line="240" w:lineRule="exact"/>
                    <w:jc w:val="center"/>
                    <w:rPr>
                      <w:szCs w:val="21"/>
                    </w:rPr>
                  </w:pPr>
                  <w:r>
                    <w:rPr>
                      <w:rFonts w:hint="eastAsia"/>
                      <w:szCs w:val="21"/>
                    </w:rPr>
                    <w:t>7月</w:t>
                  </w:r>
                </w:p>
                <w:p>
                  <w:pPr>
                    <w:spacing w:line="240" w:lineRule="exact"/>
                    <w:jc w:val="center"/>
                  </w:pPr>
                  <w:r>
                    <w:rPr>
                      <w:rFonts w:hint="eastAsia"/>
                      <w:szCs w:val="21"/>
                    </w:rPr>
                    <w:t>8日</w:t>
                  </w: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6</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厂界东</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55.4</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51.3</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56.7</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2.4</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46.5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44.3</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45.2</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7</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50.7</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54.4</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55.5</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2.1</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42.9</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43.9</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45.2</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8</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51.4</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55.2</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2.0</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43.6</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42.0</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42.8</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43.9</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9</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厂界西</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49.8</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52.1</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53.2</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1.8</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41.8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42.5</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43.6</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10</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57.3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52.8</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56.5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57.3</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2.1</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47.5</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43.1</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44.6</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46.1</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11</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52.5</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54.0</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1.1</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42.3</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39.8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41.7</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43.1</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exact"/>
                <w:jc w:val="center"/>
              </w:trPr>
              <w:tc>
                <w:tcPr>
                  <w:tcW w:w="591" w:type="dxa"/>
                  <w:vMerge w:val="continue"/>
                  <w:tcBorders>
                    <w:left w:val="single" w:color="auto" w:sz="4" w:space="0"/>
                    <w:right w:val="single" w:color="auto" w:sz="4" w:space="0"/>
                  </w:tcBorders>
                  <w:vAlign w:val="center"/>
                </w:tcPr>
                <w:p>
                  <w:pPr>
                    <w:spacing w:line="240" w:lineRule="exact"/>
                    <w:jc w:val="center"/>
                  </w:pPr>
                </w:p>
              </w:tc>
              <w:tc>
                <w:tcPr>
                  <w:tcW w:w="591" w:type="dxa"/>
                  <w:vMerge w:val="continue"/>
                  <w:tcBorders>
                    <w:left w:val="single" w:color="auto" w:sz="4" w:space="0"/>
                    <w:right w:val="single" w:color="auto" w:sz="4" w:space="0"/>
                  </w:tcBorders>
                  <w:vAlign w:val="center"/>
                </w:tcPr>
                <w:p>
                  <w:pPr>
                    <w:spacing w:line="240" w:lineRule="exact"/>
                    <w:jc w:val="center"/>
                  </w:pPr>
                </w:p>
              </w:tc>
              <w:tc>
                <w:tcPr>
                  <w:tcW w:w="498"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12</w:t>
                  </w:r>
                  <w:r>
                    <w:rPr>
                      <w:rFonts w:hint="eastAsia"/>
                      <w:szCs w:val="21"/>
                    </w:rPr>
                    <w:t>#</w:t>
                  </w:r>
                </w:p>
              </w:tc>
              <w:tc>
                <w:tcPr>
                  <w:tcW w:w="944" w:type="dxa"/>
                  <w:tcBorders>
                    <w:left w:val="single" w:color="auto" w:sz="4" w:space="0"/>
                    <w:right w:val="single" w:color="auto" w:sz="4" w:space="0"/>
                  </w:tcBorders>
                  <w:vAlign w:val="center"/>
                </w:tcPr>
                <w:p>
                  <w:pPr>
                    <w:spacing w:line="240" w:lineRule="exact"/>
                    <w:jc w:val="center"/>
                    <w:rPr>
                      <w:szCs w:val="21"/>
                    </w:rPr>
                  </w:pPr>
                  <w:r>
                    <w:rPr>
                      <w:rFonts w:hint="eastAsia"/>
                      <w:szCs w:val="21"/>
                    </w:rPr>
                    <w:t>山头村</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51.4</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49.4</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49.8</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53.3</w:t>
                  </w:r>
                </w:p>
              </w:tc>
              <w:tc>
                <w:tcPr>
                  <w:tcW w:w="69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1.8</w:t>
                  </w:r>
                </w:p>
              </w:tc>
              <w:tc>
                <w:tcPr>
                  <w:tcW w:w="55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44.7</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42.2</w:t>
                  </w:r>
                </w:p>
              </w:tc>
              <w:tc>
                <w:tcPr>
                  <w:tcW w:w="62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44.3</w:t>
                  </w:r>
                </w:p>
              </w:tc>
              <w:tc>
                <w:tcPr>
                  <w:tcW w:w="627"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45.2</w:t>
                  </w:r>
                </w:p>
              </w:tc>
              <w:tc>
                <w:tcPr>
                  <w:tcW w:w="63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1.7</w:t>
                  </w:r>
                </w:p>
              </w:tc>
            </w:tr>
          </w:tbl>
          <w:p>
            <w:pPr>
              <w:spacing w:line="460" w:lineRule="exact"/>
              <w:jc w:val="center"/>
              <w:rPr>
                <w:b/>
                <w:szCs w:val="21"/>
              </w:rPr>
            </w:pPr>
            <w:r>
              <w:rPr>
                <w:b/>
                <w:szCs w:val="21"/>
              </w:rPr>
              <w:t>表8-3</w:t>
            </w:r>
            <w:r>
              <w:rPr>
                <w:rFonts w:hint="eastAsia"/>
                <w:b/>
                <w:szCs w:val="21"/>
                <w:lang w:val="en-US" w:eastAsia="zh-CN"/>
              </w:rPr>
              <w:t>厂界</w:t>
            </w:r>
            <w:r>
              <w:rPr>
                <w:b/>
                <w:szCs w:val="21"/>
              </w:rPr>
              <w:t>噪声</w:t>
            </w:r>
            <w:r>
              <w:rPr>
                <w:rFonts w:hint="eastAsia"/>
                <w:b/>
                <w:szCs w:val="21"/>
              </w:rPr>
              <w:t>达标分析</w:t>
            </w:r>
            <w:r>
              <w:rPr>
                <w:b/>
                <w:szCs w:val="21"/>
              </w:rPr>
              <w:t>表单位：dB(A)</w:t>
            </w:r>
          </w:p>
          <w:tbl>
            <w:tblPr>
              <w:tblStyle w:val="32"/>
              <w:tblW w:w="8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2"/>
              <w:gridCol w:w="682"/>
              <w:gridCol w:w="574"/>
              <w:gridCol w:w="1089"/>
              <w:gridCol w:w="849"/>
              <w:gridCol w:w="1065"/>
              <w:gridCol w:w="880"/>
              <w:gridCol w:w="992"/>
              <w:gridCol w:w="1003"/>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监测日期</w:t>
                  </w:r>
                </w:p>
              </w:tc>
              <w:tc>
                <w:tcPr>
                  <w:tcW w:w="682" w:type="dxa"/>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w:t>
                  </w:r>
                </w:p>
                <w:p>
                  <w:pPr>
                    <w:adjustRightInd w:val="0"/>
                    <w:snapToGrid w:val="0"/>
                    <w:jc w:val="center"/>
                    <w:rPr>
                      <w:szCs w:val="21"/>
                    </w:rPr>
                  </w:pPr>
                  <w:r>
                    <w:rPr>
                      <w:rFonts w:hint="eastAsia"/>
                      <w:szCs w:val="21"/>
                    </w:rPr>
                    <w:t>地点</w:t>
                  </w:r>
                </w:p>
              </w:tc>
              <w:tc>
                <w:tcPr>
                  <w:tcW w:w="1663" w:type="dxa"/>
                  <w:gridSpan w:val="2"/>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监测点位</w:t>
                  </w:r>
                </w:p>
              </w:tc>
              <w:tc>
                <w:tcPr>
                  <w:tcW w:w="2794" w:type="dxa"/>
                  <w:gridSpan w:val="3"/>
                  <w:tcBorders>
                    <w:top w:val="single" w:color="auto" w:sz="4" w:space="0"/>
                    <w:left w:val="single" w:color="auto" w:sz="4" w:space="0"/>
                    <w:right w:val="single" w:color="auto" w:sz="4" w:space="0"/>
                  </w:tcBorders>
                  <w:vAlign w:val="center"/>
                </w:tcPr>
                <w:p>
                  <w:pPr>
                    <w:adjustRightInd w:val="0"/>
                    <w:snapToGrid w:val="0"/>
                    <w:ind w:right="-193" w:rightChars="-92"/>
                    <w:jc w:val="center"/>
                    <w:rPr>
                      <w:szCs w:val="21"/>
                    </w:rPr>
                  </w:pPr>
                  <w:r>
                    <w:rPr>
                      <w:szCs w:val="21"/>
                    </w:rPr>
                    <w:t>昼间</w:t>
                  </w:r>
                </w:p>
              </w:tc>
              <w:tc>
                <w:tcPr>
                  <w:tcW w:w="2987"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ind w:left="-178" w:leftChars="-85"/>
                    <w:jc w:val="center"/>
                    <w:rPr>
                      <w:szCs w:val="21"/>
                    </w:rPr>
                  </w:pPr>
                  <w:r>
                    <w:rPr>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682" w:type="dxa"/>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1663" w:type="dxa"/>
                  <w:gridSpan w:val="2"/>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84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Leq</w:t>
                  </w:r>
                </w:p>
              </w:tc>
              <w:tc>
                <w:tcPr>
                  <w:tcW w:w="10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标准值</w:t>
                  </w:r>
                </w:p>
              </w:tc>
              <w:tc>
                <w:tcPr>
                  <w:tcW w:w="8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达标情况</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szCs w:val="21"/>
                    </w:rPr>
                    <w:t>Leq</w:t>
                  </w:r>
                </w:p>
              </w:tc>
              <w:tc>
                <w:tcPr>
                  <w:tcW w:w="100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rFonts w:hint="eastAsia"/>
                      <w:szCs w:val="21"/>
                    </w:rPr>
                    <w:t>标准值</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rFonts w:hint="eastAsia"/>
                      <w:szCs w:val="21"/>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restart"/>
                  <w:tcBorders>
                    <w:left w:val="single" w:color="auto" w:sz="4" w:space="0"/>
                    <w:right w:val="single" w:color="auto" w:sz="4" w:space="0"/>
                  </w:tcBorders>
                  <w:vAlign w:val="center"/>
                </w:tcPr>
                <w:p>
                  <w:pPr>
                    <w:spacing w:line="240" w:lineRule="exact"/>
                    <w:jc w:val="center"/>
                    <w:rPr>
                      <w:szCs w:val="21"/>
                    </w:rPr>
                  </w:pPr>
                  <w:r>
                    <w:rPr>
                      <w:rFonts w:hint="eastAsia"/>
                      <w:szCs w:val="21"/>
                    </w:rPr>
                    <w:t>7月</w:t>
                  </w:r>
                </w:p>
                <w:p>
                  <w:pPr>
                    <w:spacing w:line="240" w:lineRule="exact"/>
                    <w:jc w:val="center"/>
                    <w:rPr>
                      <w:szCs w:val="21"/>
                    </w:rPr>
                  </w:pPr>
                  <w:r>
                    <w:rPr>
                      <w:rFonts w:hint="eastAsia"/>
                      <w:szCs w:val="21"/>
                    </w:rPr>
                    <w:t>7日</w:t>
                  </w:r>
                </w:p>
              </w:tc>
              <w:tc>
                <w:tcPr>
                  <w:tcW w:w="682" w:type="dxa"/>
                  <w:vMerge w:val="restart"/>
                  <w:tcBorders>
                    <w:left w:val="single" w:color="auto" w:sz="4" w:space="0"/>
                    <w:right w:val="single" w:color="auto" w:sz="4" w:space="0"/>
                  </w:tcBorders>
                  <w:vAlign w:val="center"/>
                </w:tcPr>
                <w:p>
                  <w:pPr>
                    <w:spacing w:line="240" w:lineRule="exact"/>
                    <w:jc w:val="center"/>
                  </w:pPr>
                  <w:r>
                    <w:rPr>
                      <w:rFonts w:hint="eastAsia"/>
                      <w:szCs w:val="21"/>
                    </w:rPr>
                    <w:t>保德首站</w:t>
                  </w: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6</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厂界东</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52.5</w:t>
                  </w:r>
                </w:p>
              </w:tc>
              <w:tc>
                <w:tcPr>
                  <w:tcW w:w="1065" w:type="dxa"/>
                  <w:vMerge w:val="restart"/>
                  <w:tcBorders>
                    <w:left w:val="single" w:color="auto" w:sz="4" w:space="0"/>
                    <w:right w:val="single" w:color="auto" w:sz="4" w:space="0"/>
                  </w:tcBorders>
                  <w:tcMar>
                    <w:top w:w="15" w:type="dxa"/>
                    <w:left w:w="15" w:type="dxa"/>
                    <w:bottom w:w="0" w:type="dxa"/>
                    <w:right w:w="15" w:type="dxa"/>
                  </w:tcMar>
                  <w:vAlign w:val="center"/>
                </w:tcPr>
                <w:p>
                  <w:pPr>
                    <w:jc w:val="center"/>
                    <w:rPr>
                      <w:rFonts w:hint="eastAsia"/>
                      <w:color w:val="000000"/>
                      <w:w w:val="90"/>
                      <w:szCs w:val="21"/>
                    </w:rPr>
                  </w:pPr>
                  <w:r>
                    <w:rPr>
                      <w:rFonts w:hint="eastAsia"/>
                      <w:color w:val="000000"/>
                      <w:w w:val="90"/>
                      <w:szCs w:val="21"/>
                    </w:rPr>
                    <w:t>《工业企业厂界环境噪声排放标准》（GB12348-2008）中2类标准</w:t>
                  </w:r>
                </w:p>
                <w:p>
                  <w:pPr>
                    <w:jc w:val="center"/>
                    <w:rPr>
                      <w:rFonts w:hint="eastAsia" w:eastAsia="宋体"/>
                      <w:color w:val="000000"/>
                      <w:w w:val="90"/>
                      <w:szCs w:val="21"/>
                      <w:lang w:val="en-US" w:eastAsia="zh-CN"/>
                    </w:rPr>
                  </w:pPr>
                  <w:r>
                    <w:rPr>
                      <w:rFonts w:hint="eastAsia"/>
                      <w:color w:val="000000"/>
                      <w:w w:val="90"/>
                      <w:szCs w:val="21"/>
                      <w:lang w:val="en-US" w:eastAsia="zh-CN"/>
                    </w:rPr>
                    <w:t>昼间</w:t>
                  </w:r>
                </w:p>
                <w:p>
                  <w:pPr>
                    <w:jc w:val="center"/>
                    <w:rPr>
                      <w:rFonts w:hint="default" w:eastAsia="宋体"/>
                      <w:color w:val="000000"/>
                      <w:w w:val="90"/>
                      <w:szCs w:val="21"/>
                      <w:lang w:val="en-US" w:eastAsia="zh-CN"/>
                    </w:rPr>
                  </w:pPr>
                  <w:r>
                    <w:rPr>
                      <w:rFonts w:hint="eastAsia"/>
                      <w:color w:val="000000"/>
                      <w:w w:val="90"/>
                      <w:szCs w:val="21"/>
                    </w:rPr>
                    <w:t>60</w:t>
                  </w:r>
                  <w:r>
                    <w:rPr>
                      <w:rFonts w:hint="eastAsia"/>
                      <w:color w:val="000000"/>
                      <w:w w:val="90"/>
                      <w:szCs w:val="21"/>
                      <w:lang w:val="en-US" w:eastAsia="zh-CN"/>
                    </w:rPr>
                    <w:t>dB</w:t>
                  </w: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40.9</w:t>
                  </w:r>
                </w:p>
              </w:tc>
              <w:tc>
                <w:tcPr>
                  <w:tcW w:w="1003" w:type="dxa"/>
                  <w:vMerge w:val="restart"/>
                  <w:tcBorders>
                    <w:left w:val="single" w:color="auto" w:sz="4" w:space="0"/>
                    <w:right w:val="single" w:color="auto" w:sz="4" w:space="0"/>
                  </w:tcBorders>
                  <w:tcMar>
                    <w:top w:w="15" w:type="dxa"/>
                    <w:left w:w="15" w:type="dxa"/>
                    <w:bottom w:w="0" w:type="dxa"/>
                    <w:right w:w="15" w:type="dxa"/>
                  </w:tcMar>
                  <w:vAlign w:val="center"/>
                </w:tcPr>
                <w:p>
                  <w:pPr>
                    <w:jc w:val="center"/>
                    <w:rPr>
                      <w:rFonts w:hint="eastAsia"/>
                      <w:color w:val="000000"/>
                      <w:w w:val="90"/>
                      <w:szCs w:val="21"/>
                    </w:rPr>
                  </w:pPr>
                  <w:r>
                    <w:rPr>
                      <w:rFonts w:hint="eastAsia"/>
                      <w:color w:val="000000"/>
                      <w:w w:val="90"/>
                      <w:szCs w:val="21"/>
                    </w:rPr>
                    <w:t>《工业企业厂界环境噪声排放标准》（GB12348-2008）中2类标准</w:t>
                  </w:r>
                </w:p>
                <w:p>
                  <w:pPr>
                    <w:jc w:val="center"/>
                    <w:rPr>
                      <w:rFonts w:hint="eastAsia" w:eastAsia="宋体"/>
                      <w:color w:val="000000"/>
                      <w:w w:val="90"/>
                      <w:szCs w:val="21"/>
                      <w:lang w:val="en-US" w:eastAsia="zh-CN"/>
                    </w:rPr>
                  </w:pPr>
                  <w:r>
                    <w:rPr>
                      <w:rFonts w:hint="eastAsia"/>
                      <w:color w:val="000000"/>
                      <w:w w:val="90"/>
                      <w:szCs w:val="21"/>
                      <w:lang w:val="en-US" w:eastAsia="zh-CN"/>
                    </w:rPr>
                    <w:t>夜间</w:t>
                  </w:r>
                </w:p>
                <w:p>
                  <w:pPr>
                    <w:jc w:val="center"/>
                    <w:rPr>
                      <w:color w:val="000000"/>
                      <w:w w:val="90"/>
                      <w:szCs w:val="21"/>
                    </w:rPr>
                  </w:pPr>
                  <w:r>
                    <w:rPr>
                      <w:rFonts w:hint="eastAsia"/>
                      <w:color w:val="000000"/>
                      <w:w w:val="90"/>
                      <w:szCs w:val="21"/>
                      <w:lang w:val="en-US" w:eastAsia="zh-CN"/>
                    </w:rPr>
                    <w:t>5</w:t>
                  </w:r>
                  <w:r>
                    <w:rPr>
                      <w:rFonts w:hint="eastAsia"/>
                      <w:color w:val="000000"/>
                      <w:w w:val="90"/>
                      <w:szCs w:val="21"/>
                    </w:rPr>
                    <w:t>0</w:t>
                  </w:r>
                  <w:r>
                    <w:rPr>
                      <w:rFonts w:hint="eastAsia"/>
                      <w:color w:val="000000"/>
                      <w:w w:val="90"/>
                      <w:szCs w:val="21"/>
                      <w:lang w:val="en-US" w:eastAsia="zh-CN"/>
                    </w:rPr>
                    <w:t>dB</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7</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54.9</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45.5</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8</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53.8</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42.6</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9</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厂界西</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54.5</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44.6</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10</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55.4</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45.9</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11</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51.7</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44.0</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restart"/>
                  <w:tcBorders>
                    <w:left w:val="single" w:color="auto" w:sz="4" w:space="0"/>
                    <w:right w:val="single" w:color="auto" w:sz="4" w:space="0"/>
                  </w:tcBorders>
                  <w:vAlign w:val="center"/>
                </w:tcPr>
                <w:p>
                  <w:pPr>
                    <w:spacing w:line="240" w:lineRule="exact"/>
                    <w:jc w:val="center"/>
                    <w:rPr>
                      <w:szCs w:val="21"/>
                    </w:rPr>
                  </w:pPr>
                  <w:r>
                    <w:rPr>
                      <w:rFonts w:hint="eastAsia"/>
                      <w:szCs w:val="21"/>
                    </w:rPr>
                    <w:t>7月</w:t>
                  </w:r>
                </w:p>
                <w:p>
                  <w:pPr>
                    <w:spacing w:line="240" w:lineRule="exact"/>
                    <w:jc w:val="center"/>
                  </w:pPr>
                  <w:r>
                    <w:rPr>
                      <w:rFonts w:hint="eastAsia"/>
                      <w:szCs w:val="21"/>
                    </w:rPr>
                    <w:t>8日</w:t>
                  </w: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6</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厂界东</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55.4</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46.5</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7</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54.3</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44.8</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8</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55.5</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43.6</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9</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厂界西</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53.3</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43.3</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10</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57.3</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47.5</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11</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厂界北</w:t>
                  </w:r>
                </w:p>
              </w:tc>
              <w:tc>
                <w:tcPr>
                  <w:tcW w:w="84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53.8</w:t>
                  </w:r>
                </w:p>
              </w:tc>
              <w:tc>
                <w:tcPr>
                  <w:tcW w:w="1065"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8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42.3</w:t>
                  </w:r>
                </w:p>
              </w:tc>
              <w:tc>
                <w:tcPr>
                  <w:tcW w:w="1003" w:type="dxa"/>
                  <w:vMerge w:val="continue"/>
                  <w:tcBorders>
                    <w:left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bl>
          <w:p>
            <w:pPr>
              <w:spacing w:line="460" w:lineRule="exact"/>
              <w:jc w:val="center"/>
              <w:rPr>
                <w:b/>
                <w:szCs w:val="21"/>
              </w:rPr>
            </w:pPr>
            <w:r>
              <w:rPr>
                <w:b/>
                <w:szCs w:val="21"/>
              </w:rPr>
              <w:t>表8-</w:t>
            </w:r>
            <w:r>
              <w:rPr>
                <w:rFonts w:hint="eastAsia"/>
                <w:b/>
                <w:szCs w:val="21"/>
                <w:lang w:val="en-US" w:eastAsia="zh-CN"/>
              </w:rPr>
              <w:t>4山头村</w:t>
            </w:r>
            <w:r>
              <w:rPr>
                <w:b/>
                <w:szCs w:val="21"/>
              </w:rPr>
              <w:t>噪声</w:t>
            </w:r>
            <w:r>
              <w:rPr>
                <w:rFonts w:hint="eastAsia"/>
                <w:b/>
                <w:szCs w:val="21"/>
              </w:rPr>
              <w:t>达标分析</w:t>
            </w:r>
            <w:r>
              <w:rPr>
                <w:b/>
                <w:szCs w:val="21"/>
              </w:rPr>
              <w:t>表单位：dB(A)</w:t>
            </w:r>
          </w:p>
          <w:tbl>
            <w:tblPr>
              <w:tblStyle w:val="32"/>
              <w:tblW w:w="8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2"/>
              <w:gridCol w:w="682"/>
              <w:gridCol w:w="574"/>
              <w:gridCol w:w="1089"/>
              <w:gridCol w:w="774"/>
              <w:gridCol w:w="1155"/>
              <w:gridCol w:w="865"/>
              <w:gridCol w:w="992"/>
              <w:gridCol w:w="1003"/>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监测日期</w:t>
                  </w:r>
                </w:p>
              </w:tc>
              <w:tc>
                <w:tcPr>
                  <w:tcW w:w="682" w:type="dxa"/>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w:t>
                  </w:r>
                </w:p>
                <w:p>
                  <w:pPr>
                    <w:adjustRightInd w:val="0"/>
                    <w:snapToGrid w:val="0"/>
                    <w:jc w:val="center"/>
                    <w:rPr>
                      <w:szCs w:val="21"/>
                    </w:rPr>
                  </w:pPr>
                  <w:r>
                    <w:rPr>
                      <w:rFonts w:hint="eastAsia"/>
                      <w:szCs w:val="21"/>
                    </w:rPr>
                    <w:t>地点</w:t>
                  </w:r>
                </w:p>
              </w:tc>
              <w:tc>
                <w:tcPr>
                  <w:tcW w:w="1663" w:type="dxa"/>
                  <w:gridSpan w:val="2"/>
                  <w:vMerge w:val="restart"/>
                  <w:tcBorders>
                    <w:left w:val="single" w:color="auto" w:sz="4" w:space="0"/>
                    <w:right w:val="single" w:color="auto" w:sz="4" w:space="0"/>
                  </w:tcBorders>
                  <w:vAlign w:val="center"/>
                </w:tcPr>
                <w:p>
                  <w:pPr>
                    <w:adjustRightInd w:val="0"/>
                    <w:snapToGrid w:val="0"/>
                    <w:jc w:val="center"/>
                    <w:rPr>
                      <w:szCs w:val="21"/>
                    </w:rPr>
                  </w:pPr>
                  <w:r>
                    <w:rPr>
                      <w:rFonts w:hint="eastAsia"/>
                      <w:szCs w:val="21"/>
                    </w:rPr>
                    <w:t>监测点位</w:t>
                  </w:r>
                </w:p>
              </w:tc>
              <w:tc>
                <w:tcPr>
                  <w:tcW w:w="2794" w:type="dxa"/>
                  <w:gridSpan w:val="3"/>
                  <w:tcBorders>
                    <w:top w:val="single" w:color="auto" w:sz="4" w:space="0"/>
                    <w:left w:val="single" w:color="auto" w:sz="4" w:space="0"/>
                    <w:right w:val="single" w:color="auto" w:sz="4" w:space="0"/>
                  </w:tcBorders>
                  <w:vAlign w:val="center"/>
                </w:tcPr>
                <w:p>
                  <w:pPr>
                    <w:adjustRightInd w:val="0"/>
                    <w:snapToGrid w:val="0"/>
                    <w:ind w:right="-193" w:rightChars="-92"/>
                    <w:jc w:val="center"/>
                    <w:rPr>
                      <w:szCs w:val="21"/>
                    </w:rPr>
                  </w:pPr>
                  <w:r>
                    <w:rPr>
                      <w:szCs w:val="21"/>
                    </w:rPr>
                    <w:t>昼间</w:t>
                  </w:r>
                </w:p>
              </w:tc>
              <w:tc>
                <w:tcPr>
                  <w:tcW w:w="2987"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ind w:left="-178" w:leftChars="-85"/>
                    <w:jc w:val="center"/>
                    <w:rPr>
                      <w:szCs w:val="21"/>
                    </w:rPr>
                  </w:pPr>
                  <w:r>
                    <w:rPr>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7" w:hRule="exact"/>
                <w:jc w:val="center"/>
              </w:trPr>
              <w:tc>
                <w:tcPr>
                  <w:tcW w:w="682" w:type="dxa"/>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682" w:type="dxa"/>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1663" w:type="dxa"/>
                  <w:gridSpan w:val="2"/>
                  <w:vMerge w:val="continue"/>
                  <w:tcBorders>
                    <w:left w:val="single" w:color="auto" w:sz="4" w:space="0"/>
                    <w:bottom w:val="single" w:color="auto" w:sz="4" w:space="0"/>
                    <w:right w:val="single" w:color="auto" w:sz="4" w:space="0"/>
                  </w:tcBorders>
                  <w:vAlign w:val="center"/>
                </w:tcPr>
                <w:p>
                  <w:pPr>
                    <w:widowControl/>
                    <w:jc w:val="center"/>
                    <w:rPr>
                      <w:szCs w:val="21"/>
                    </w:rPr>
                  </w:pPr>
                </w:p>
              </w:tc>
              <w:tc>
                <w:tcPr>
                  <w:tcW w:w="77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szCs w:val="21"/>
                    </w:rPr>
                    <w:t>Leq</w:t>
                  </w:r>
                </w:p>
              </w:tc>
              <w:tc>
                <w:tcPr>
                  <w:tcW w:w="115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标准值</w:t>
                  </w:r>
                </w:p>
              </w:tc>
              <w:tc>
                <w:tcPr>
                  <w:tcW w:w="86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szCs w:val="21"/>
                    </w:rPr>
                  </w:pPr>
                  <w:r>
                    <w:rPr>
                      <w:rFonts w:hint="eastAsia"/>
                      <w:szCs w:val="21"/>
                    </w:rPr>
                    <w:t>达标情况</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szCs w:val="21"/>
                    </w:rPr>
                    <w:t>Leq</w:t>
                  </w:r>
                </w:p>
              </w:tc>
              <w:tc>
                <w:tcPr>
                  <w:tcW w:w="100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rFonts w:hint="eastAsia"/>
                      <w:szCs w:val="21"/>
                    </w:rPr>
                    <w:t>标准值</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adjustRightInd w:val="0"/>
                    <w:snapToGrid w:val="0"/>
                    <w:jc w:val="center"/>
                    <w:rPr>
                      <w:szCs w:val="21"/>
                    </w:rPr>
                  </w:pPr>
                  <w:r>
                    <w:rPr>
                      <w:rFonts w:hint="eastAsia"/>
                      <w:szCs w:val="21"/>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12</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山头村</w:t>
                  </w:r>
                </w:p>
              </w:tc>
              <w:tc>
                <w:tcPr>
                  <w:tcW w:w="77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54.8</w:t>
                  </w:r>
                </w:p>
              </w:tc>
              <w:tc>
                <w:tcPr>
                  <w:tcW w:w="1155" w:type="dxa"/>
                  <w:vMerge w:val="restart"/>
                  <w:tcBorders>
                    <w:left w:val="single" w:color="auto" w:sz="4" w:space="0"/>
                    <w:right w:val="single" w:color="auto" w:sz="4" w:space="0"/>
                  </w:tcBorders>
                  <w:tcMar>
                    <w:top w:w="15" w:type="dxa"/>
                    <w:left w:w="15" w:type="dxa"/>
                    <w:bottom w:w="0" w:type="dxa"/>
                    <w:right w:w="15" w:type="dxa"/>
                  </w:tcMar>
                  <w:vAlign w:val="center"/>
                </w:tcPr>
                <w:p>
                  <w:pPr>
                    <w:jc w:val="center"/>
                    <w:rPr>
                      <w:rFonts w:hint="eastAsia"/>
                      <w:color w:val="000000"/>
                      <w:w w:val="90"/>
                      <w:szCs w:val="21"/>
                    </w:rPr>
                  </w:pPr>
                  <w:r>
                    <w:rPr>
                      <w:rFonts w:hint="eastAsia"/>
                      <w:color w:val="000000"/>
                      <w:w w:val="90"/>
                      <w:szCs w:val="21"/>
                    </w:rPr>
                    <w:t>《声环境质量标准》（GB3096-2008）中2类标准</w:t>
                  </w:r>
                </w:p>
                <w:p>
                  <w:pPr>
                    <w:jc w:val="center"/>
                    <w:rPr>
                      <w:rFonts w:hint="eastAsia" w:eastAsia="宋体"/>
                      <w:color w:val="000000"/>
                      <w:w w:val="90"/>
                      <w:szCs w:val="21"/>
                      <w:lang w:val="en-US" w:eastAsia="zh-CN"/>
                    </w:rPr>
                  </w:pPr>
                  <w:r>
                    <w:rPr>
                      <w:rFonts w:hint="eastAsia"/>
                      <w:color w:val="000000"/>
                      <w:w w:val="90"/>
                      <w:szCs w:val="21"/>
                      <w:lang w:val="en-US" w:eastAsia="zh-CN"/>
                    </w:rPr>
                    <w:t>昼间</w:t>
                  </w:r>
                </w:p>
                <w:p>
                  <w:pPr>
                    <w:jc w:val="center"/>
                    <w:rPr>
                      <w:rFonts w:hint="default" w:eastAsia="宋体"/>
                      <w:sz w:val="24"/>
                      <w:lang w:val="en-US" w:eastAsia="zh-CN"/>
                    </w:rPr>
                  </w:pPr>
                  <w:r>
                    <w:rPr>
                      <w:rFonts w:hint="eastAsia"/>
                      <w:color w:val="000000"/>
                      <w:w w:val="90"/>
                      <w:szCs w:val="21"/>
                    </w:rPr>
                    <w:t>60</w:t>
                  </w:r>
                  <w:r>
                    <w:rPr>
                      <w:rFonts w:hint="eastAsia"/>
                      <w:color w:val="000000"/>
                      <w:w w:val="90"/>
                      <w:szCs w:val="21"/>
                      <w:lang w:val="en-US" w:eastAsia="zh-CN"/>
                    </w:rPr>
                    <w:t>dB</w:t>
                  </w:r>
                </w:p>
              </w:tc>
              <w:tc>
                <w:tcPr>
                  <w:tcW w:w="86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43.0</w:t>
                  </w:r>
                </w:p>
              </w:tc>
              <w:tc>
                <w:tcPr>
                  <w:tcW w:w="1003" w:type="dxa"/>
                  <w:vMerge w:val="restart"/>
                  <w:tcBorders>
                    <w:left w:val="single" w:color="auto" w:sz="4" w:space="0"/>
                    <w:right w:val="single" w:color="auto" w:sz="4" w:space="0"/>
                  </w:tcBorders>
                  <w:tcMar>
                    <w:top w:w="15" w:type="dxa"/>
                    <w:left w:w="15" w:type="dxa"/>
                    <w:bottom w:w="0" w:type="dxa"/>
                    <w:right w:w="15" w:type="dxa"/>
                  </w:tcMar>
                  <w:vAlign w:val="center"/>
                </w:tcPr>
                <w:p>
                  <w:pPr>
                    <w:jc w:val="center"/>
                    <w:rPr>
                      <w:rFonts w:hint="eastAsia"/>
                      <w:color w:val="000000"/>
                      <w:w w:val="90"/>
                      <w:szCs w:val="21"/>
                    </w:rPr>
                  </w:pPr>
                  <w:r>
                    <w:rPr>
                      <w:rFonts w:hint="eastAsia"/>
                      <w:color w:val="000000"/>
                      <w:w w:val="90"/>
                      <w:szCs w:val="21"/>
                    </w:rPr>
                    <w:t>《声环境质量标准》（GB3096-2008）中2类标准</w:t>
                  </w:r>
                </w:p>
                <w:p>
                  <w:pPr>
                    <w:jc w:val="center"/>
                    <w:rPr>
                      <w:rFonts w:hint="eastAsia" w:eastAsia="宋体"/>
                      <w:color w:val="000000"/>
                      <w:w w:val="90"/>
                      <w:szCs w:val="21"/>
                      <w:lang w:val="en-US" w:eastAsia="zh-CN"/>
                    </w:rPr>
                  </w:pPr>
                  <w:r>
                    <w:rPr>
                      <w:rFonts w:hint="eastAsia"/>
                      <w:color w:val="000000"/>
                      <w:w w:val="90"/>
                      <w:szCs w:val="21"/>
                      <w:lang w:val="en-US" w:eastAsia="zh-CN"/>
                    </w:rPr>
                    <w:t>夜间</w:t>
                  </w:r>
                </w:p>
                <w:p>
                  <w:pPr>
                    <w:jc w:val="center"/>
                    <w:rPr>
                      <w:color w:val="000000"/>
                      <w:w w:val="90"/>
                      <w:szCs w:val="21"/>
                    </w:rPr>
                  </w:pPr>
                  <w:r>
                    <w:rPr>
                      <w:rFonts w:hint="eastAsia"/>
                      <w:color w:val="000000"/>
                      <w:w w:val="90"/>
                      <w:szCs w:val="21"/>
                      <w:lang w:val="en-US" w:eastAsia="zh-CN"/>
                    </w:rPr>
                    <w:t>5</w:t>
                  </w:r>
                  <w:r>
                    <w:rPr>
                      <w:rFonts w:hint="eastAsia"/>
                      <w:color w:val="000000"/>
                      <w:w w:val="90"/>
                      <w:szCs w:val="21"/>
                    </w:rPr>
                    <w:t>0</w:t>
                  </w:r>
                  <w:r>
                    <w:rPr>
                      <w:rFonts w:hint="eastAsia"/>
                      <w:color w:val="000000"/>
                      <w:w w:val="90"/>
                      <w:szCs w:val="21"/>
                      <w:lang w:val="en-US" w:eastAsia="zh-CN"/>
                    </w:rPr>
                    <w:t>dB</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rPr>
                      <w:rFonts w:eastAsia="Yu Mincho Demibold"/>
                    </w:rPr>
                  </w:pPr>
                  <w:r>
                    <w:rPr>
                      <w:rFonts w:hint="eastAsia"/>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73" w:hRule="exact"/>
                <w:jc w:val="center"/>
              </w:trPr>
              <w:tc>
                <w:tcPr>
                  <w:tcW w:w="682" w:type="dxa"/>
                  <w:vMerge w:val="continue"/>
                  <w:tcBorders>
                    <w:left w:val="single" w:color="auto" w:sz="4" w:space="0"/>
                    <w:right w:val="single" w:color="auto" w:sz="4" w:space="0"/>
                  </w:tcBorders>
                  <w:vAlign w:val="center"/>
                </w:tcPr>
                <w:p>
                  <w:pPr>
                    <w:spacing w:line="240" w:lineRule="exact"/>
                    <w:jc w:val="center"/>
                  </w:pPr>
                </w:p>
              </w:tc>
              <w:tc>
                <w:tcPr>
                  <w:tcW w:w="682" w:type="dxa"/>
                  <w:vMerge w:val="continue"/>
                  <w:tcBorders>
                    <w:left w:val="single" w:color="auto" w:sz="4" w:space="0"/>
                    <w:right w:val="single" w:color="auto" w:sz="4" w:space="0"/>
                  </w:tcBorders>
                  <w:vAlign w:val="center"/>
                </w:tcPr>
                <w:p>
                  <w:pPr>
                    <w:spacing w:line="240" w:lineRule="exact"/>
                    <w:jc w:val="center"/>
                  </w:pPr>
                </w:p>
              </w:tc>
              <w:tc>
                <w:tcPr>
                  <w:tcW w:w="574" w:type="dxa"/>
                  <w:tcBorders>
                    <w:left w:val="single" w:color="auto" w:sz="4" w:space="0"/>
                    <w:right w:val="single" w:color="auto" w:sz="4" w:space="0"/>
                  </w:tcBorders>
                  <w:vAlign w:val="center"/>
                </w:tcPr>
                <w:p>
                  <w:pPr>
                    <w:spacing w:line="240" w:lineRule="exact"/>
                    <w:jc w:val="center"/>
                    <w:rPr>
                      <w:szCs w:val="21"/>
                    </w:rPr>
                  </w:pPr>
                  <w:r>
                    <w:rPr>
                      <w:rFonts w:hint="eastAsia"/>
                      <w:szCs w:val="21"/>
                      <w:lang w:val="en-US" w:eastAsia="zh-CN"/>
                    </w:rPr>
                    <w:t>12</w:t>
                  </w:r>
                  <w:r>
                    <w:rPr>
                      <w:rFonts w:hint="eastAsia"/>
                      <w:szCs w:val="21"/>
                    </w:rPr>
                    <w:t>#</w:t>
                  </w:r>
                </w:p>
              </w:tc>
              <w:tc>
                <w:tcPr>
                  <w:tcW w:w="1089" w:type="dxa"/>
                  <w:tcBorders>
                    <w:left w:val="single" w:color="auto" w:sz="4" w:space="0"/>
                    <w:right w:val="single" w:color="auto" w:sz="4" w:space="0"/>
                  </w:tcBorders>
                  <w:vAlign w:val="center"/>
                </w:tcPr>
                <w:p>
                  <w:pPr>
                    <w:spacing w:line="240" w:lineRule="exact"/>
                    <w:jc w:val="center"/>
                    <w:rPr>
                      <w:szCs w:val="21"/>
                    </w:rPr>
                  </w:pPr>
                  <w:r>
                    <w:rPr>
                      <w:rFonts w:hint="eastAsia"/>
                      <w:szCs w:val="21"/>
                    </w:rPr>
                    <w:t>山头村</w:t>
                  </w:r>
                </w:p>
              </w:tc>
              <w:tc>
                <w:tcPr>
                  <w:tcW w:w="774"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51.4</w:t>
                  </w:r>
                </w:p>
              </w:tc>
              <w:tc>
                <w:tcPr>
                  <w:tcW w:w="1155" w:type="dxa"/>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86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r>
                    <w:rPr>
                      <w:rFonts w:hint="eastAsia"/>
                      <w:color w:val="000000"/>
                      <w:w w:val="90"/>
                      <w:szCs w:val="21"/>
                    </w:rPr>
                    <w:t>44.7</w:t>
                  </w:r>
                </w:p>
              </w:tc>
              <w:tc>
                <w:tcPr>
                  <w:tcW w:w="1003" w:type="dxa"/>
                  <w:vMerge w:val="continue"/>
                  <w:tcBorders>
                    <w:left w:val="single" w:color="auto" w:sz="4" w:space="0"/>
                    <w:bottom w:val="single" w:color="auto" w:sz="4" w:space="0"/>
                    <w:right w:val="single" w:color="auto" w:sz="4" w:space="0"/>
                  </w:tcBorders>
                  <w:tcMar>
                    <w:top w:w="15" w:type="dxa"/>
                    <w:left w:w="15" w:type="dxa"/>
                    <w:bottom w:w="0" w:type="dxa"/>
                    <w:right w:w="15" w:type="dxa"/>
                  </w:tcMar>
                  <w:vAlign w:val="center"/>
                </w:tcPr>
                <w:p>
                  <w:pPr>
                    <w:jc w:val="center"/>
                    <w:rPr>
                      <w:color w:val="000000"/>
                      <w:w w:val="90"/>
                      <w:szCs w:val="21"/>
                    </w:rPr>
                  </w:pPr>
                </w:p>
              </w:tc>
              <w:tc>
                <w:tcPr>
                  <w:tcW w:w="992"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pStyle w:val="89"/>
                  </w:pPr>
                  <w:r>
                    <w:rPr>
                      <w:rFonts w:hint="eastAsia"/>
                    </w:rPr>
                    <w:t>达标</w:t>
                  </w:r>
                </w:p>
              </w:tc>
            </w:tr>
          </w:tbl>
          <w:p>
            <w:pPr>
              <w:spacing w:line="460" w:lineRule="exact"/>
              <w:ind w:firstLine="480" w:firstLineChars="200"/>
              <w:rPr>
                <w:sz w:val="24"/>
              </w:rPr>
            </w:pPr>
            <w:r>
              <w:rPr>
                <w:sz w:val="24"/>
              </w:rPr>
              <w:t>由表8-3可知，两日监测中</w:t>
            </w:r>
            <w:r>
              <w:rPr>
                <w:rFonts w:hint="eastAsia"/>
                <w:sz w:val="24"/>
              </w:rPr>
              <w:t>保德首站</w:t>
            </w:r>
            <w:r>
              <w:rPr>
                <w:sz w:val="24"/>
              </w:rPr>
              <w:t>场界四周</w:t>
            </w:r>
            <w:r>
              <w:rPr>
                <w:rFonts w:hint="eastAsia"/>
                <w:sz w:val="24"/>
              </w:rPr>
              <w:t>昼夜</w:t>
            </w:r>
            <w:r>
              <w:rPr>
                <w:sz w:val="24"/>
              </w:rPr>
              <w:t>监测值</w:t>
            </w:r>
            <w:r>
              <w:rPr>
                <w:rFonts w:hint="eastAsia"/>
                <w:sz w:val="24"/>
              </w:rPr>
              <w:t>均</w:t>
            </w:r>
            <w:r>
              <w:rPr>
                <w:sz w:val="24"/>
              </w:rPr>
              <w:t>满足《工业企业厂界环境噪声排放标准》（GB12348-2008）中</w:t>
            </w:r>
            <w:r>
              <w:rPr>
                <w:rFonts w:hint="eastAsia"/>
                <w:sz w:val="24"/>
              </w:rPr>
              <w:t>2</w:t>
            </w:r>
            <w:r>
              <w:rPr>
                <w:sz w:val="24"/>
              </w:rPr>
              <w:t>类标准要求。</w:t>
            </w:r>
          </w:p>
          <w:p>
            <w:pPr>
              <w:spacing w:line="460" w:lineRule="exact"/>
              <w:ind w:firstLine="480" w:firstLineChars="200"/>
              <w:rPr>
                <w:color w:val="FF0000"/>
                <w:sz w:val="24"/>
              </w:rPr>
            </w:pPr>
            <w:r>
              <w:rPr>
                <w:sz w:val="24"/>
              </w:rPr>
              <w:t>两日监测中</w:t>
            </w:r>
            <w:r>
              <w:rPr>
                <w:rFonts w:hint="eastAsia"/>
                <w:sz w:val="24"/>
              </w:rPr>
              <w:t>山头村昼夜</w:t>
            </w:r>
            <w:r>
              <w:rPr>
                <w:sz w:val="24"/>
              </w:rPr>
              <w:t>监测值</w:t>
            </w:r>
            <w:r>
              <w:rPr>
                <w:rFonts w:hint="eastAsia"/>
                <w:sz w:val="24"/>
              </w:rPr>
              <w:t>均</w:t>
            </w:r>
            <w:r>
              <w:rPr>
                <w:sz w:val="24"/>
              </w:rPr>
              <w:t>满足《声环境质量标准》（GB3096-2008）中</w:t>
            </w:r>
            <w:r>
              <w:rPr>
                <w:rFonts w:hint="eastAsia"/>
                <w:sz w:val="24"/>
              </w:rPr>
              <w:t>2类</w:t>
            </w:r>
            <w:r>
              <w:rPr>
                <w:sz w:val="24"/>
              </w:rPr>
              <w:t>标准要求。</w:t>
            </w:r>
          </w:p>
          <w:p>
            <w:pPr>
              <w:spacing w:line="460" w:lineRule="exact"/>
              <w:ind w:firstLine="480" w:firstLineChars="200"/>
              <w:rPr>
                <w:color w:val="FF0000"/>
                <w:sz w:val="24"/>
              </w:rPr>
            </w:pPr>
          </w:p>
          <w:p>
            <w:pPr>
              <w:spacing w:line="460" w:lineRule="exact"/>
              <w:ind w:firstLine="480" w:firstLineChars="200"/>
              <w:rPr>
                <w:color w:val="FF0000"/>
                <w:sz w:val="24"/>
              </w:rPr>
            </w:pPr>
          </w:p>
          <w:p>
            <w:pPr>
              <w:spacing w:line="460" w:lineRule="exact"/>
              <w:ind w:firstLine="480" w:firstLineChars="200"/>
              <w:rPr>
                <w:color w:val="FF0000"/>
                <w:sz w:val="24"/>
              </w:rPr>
            </w:pPr>
          </w:p>
          <w:p>
            <w:pPr>
              <w:spacing w:line="460" w:lineRule="exact"/>
              <w:ind w:firstLine="480" w:firstLineChars="200"/>
              <w:rPr>
                <w:color w:val="FF0000"/>
                <w:sz w:val="24"/>
              </w:rPr>
            </w:pPr>
          </w:p>
          <w:p>
            <w:pPr>
              <w:spacing w:line="460" w:lineRule="exact"/>
              <w:ind w:firstLine="480" w:firstLineChars="200"/>
              <w:rPr>
                <w:color w:val="FF0000"/>
                <w:sz w:val="24"/>
              </w:rPr>
            </w:pPr>
          </w:p>
          <w:p>
            <w:pPr>
              <w:spacing w:line="460" w:lineRule="exact"/>
              <w:ind w:firstLine="480" w:firstLineChars="200"/>
              <w:rPr>
                <w:color w:val="FF0000"/>
                <w:sz w:val="24"/>
              </w:rPr>
            </w:pPr>
          </w:p>
          <w:p>
            <w:pPr>
              <w:spacing w:line="480" w:lineRule="exact"/>
              <w:outlineLvl w:val="0"/>
              <w:rPr>
                <w:color w:val="FF0000"/>
                <w:sz w:val="24"/>
              </w:rPr>
            </w:pPr>
          </w:p>
        </w:tc>
      </w:tr>
    </w:tbl>
    <w:p>
      <w:pPr>
        <w:rPr>
          <w:color w:val="FF0000"/>
          <w:sz w:val="24"/>
        </w:rPr>
        <w:sectPr>
          <w:pgSz w:w="11906" w:h="16838"/>
          <w:pgMar w:top="1701" w:right="1304" w:bottom="1134" w:left="1418" w:header="1134" w:footer="992" w:gutter="0"/>
          <w:cols w:space="425" w:num="1"/>
          <w:docGrid w:type="linesAndChars" w:linePitch="312" w:charSpace="0"/>
        </w:sectPr>
      </w:pPr>
      <w:bookmarkStart w:id="76" w:name="_Toc100123159"/>
      <w:bookmarkStart w:id="77" w:name="_Toc100123059"/>
      <w:bookmarkStart w:id="78" w:name="_Toc100122859"/>
      <w:bookmarkStart w:id="79" w:name="_Toc100119405"/>
      <w:bookmarkStart w:id="80" w:name="_Toc102119098"/>
      <w:bookmarkStart w:id="81" w:name="_Toc102120193"/>
      <w:bookmarkStart w:id="82" w:name="_Toc102120476"/>
      <w:bookmarkStart w:id="83" w:name="_Toc297795035"/>
    </w:p>
    <w:p>
      <w:pPr>
        <w:pStyle w:val="4"/>
        <w:spacing w:before="120" w:after="120"/>
        <w:rPr>
          <w:rFonts w:ascii="Times New Roman"/>
          <w:sz w:val="30"/>
          <w:szCs w:val="30"/>
        </w:rPr>
      </w:pPr>
      <w:bookmarkStart w:id="84" w:name="_Toc328647958"/>
      <w:bookmarkStart w:id="85" w:name="_Toc443915689"/>
      <w:r>
        <w:rPr>
          <w:rFonts w:ascii="Times New Roman"/>
          <w:sz w:val="30"/>
          <w:szCs w:val="30"/>
        </w:rPr>
        <w:t>表9  环境管理状况及监测计划</w:t>
      </w:r>
      <w:bookmarkEnd w:id="76"/>
      <w:bookmarkEnd w:id="77"/>
      <w:bookmarkEnd w:id="78"/>
      <w:bookmarkEnd w:id="79"/>
      <w:bookmarkEnd w:id="80"/>
      <w:bookmarkEnd w:id="81"/>
      <w:bookmarkEnd w:id="82"/>
      <w:bookmarkEnd w:id="83"/>
      <w:bookmarkEnd w:id="84"/>
      <w:bookmarkEnd w:id="85"/>
    </w:p>
    <w:tbl>
      <w:tblPr>
        <w:tblStyle w:val="3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vAlign w:val="center"/>
          </w:tcPr>
          <w:p>
            <w:pPr>
              <w:pStyle w:val="38"/>
              <w:keepNext w:val="0"/>
              <w:adjustRightInd/>
              <w:spacing w:line="460" w:lineRule="exact"/>
              <w:jc w:val="both"/>
              <w:textAlignment w:val="auto"/>
              <w:rPr>
                <w:b/>
                <w:kern w:val="2"/>
                <w:sz w:val="24"/>
                <w:szCs w:val="24"/>
              </w:rPr>
            </w:pPr>
            <w:r>
              <w:rPr>
                <w:b/>
                <w:kern w:val="2"/>
                <w:sz w:val="24"/>
                <w:szCs w:val="24"/>
              </w:rPr>
              <w:t>环境管理机构设置</w:t>
            </w:r>
          </w:p>
          <w:p>
            <w:pPr>
              <w:pStyle w:val="43"/>
              <w:spacing w:line="460" w:lineRule="exact"/>
              <w:ind w:firstLine="480"/>
              <w:rPr>
                <w:color w:val="FF0000"/>
                <w:sz w:val="24"/>
                <w:szCs w:val="24"/>
              </w:rPr>
            </w:pPr>
          </w:p>
          <w:p>
            <w:pPr>
              <w:pStyle w:val="43"/>
              <w:spacing w:line="460" w:lineRule="exact"/>
              <w:ind w:firstLine="480"/>
              <w:rPr>
                <w:sz w:val="24"/>
                <w:szCs w:val="24"/>
              </w:rPr>
            </w:pPr>
            <w:r>
              <w:rPr>
                <w:sz w:val="24"/>
                <w:szCs w:val="24"/>
              </w:rPr>
              <w:t>本公司环保工作由公司总经理负责，下设专人分管环境管理项目。由于在职人员较少，所以由一人兼职负责环保工作。</w:t>
            </w:r>
          </w:p>
          <w:p>
            <w:pPr>
              <w:pStyle w:val="43"/>
              <w:spacing w:line="460" w:lineRule="exact"/>
              <w:ind w:firstLine="480"/>
              <w:rPr>
                <w:color w:val="FF0000"/>
                <w:sz w:val="24"/>
                <w:szCs w:val="24"/>
              </w:rPr>
            </w:pPr>
          </w:p>
          <w:p>
            <w:pPr>
              <w:pStyle w:val="38"/>
              <w:keepNext w:val="0"/>
              <w:adjustRightInd/>
              <w:spacing w:line="460" w:lineRule="exact"/>
              <w:jc w:val="both"/>
              <w:textAlignment w:val="auto"/>
              <w:rPr>
                <w:color w:val="FF0000"/>
                <w:kern w:val="2"/>
                <w:sz w:val="24"/>
                <w:szCs w:val="24"/>
              </w:rPr>
            </w:pPr>
          </w:p>
          <w:p>
            <w:pPr>
              <w:pStyle w:val="38"/>
              <w:keepNext w:val="0"/>
              <w:adjustRightInd/>
              <w:spacing w:line="460" w:lineRule="exact"/>
              <w:jc w:val="both"/>
              <w:textAlignment w:val="auto"/>
              <w:rPr>
                <w:color w:val="FF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vAlign w:val="center"/>
          </w:tcPr>
          <w:p>
            <w:pPr>
              <w:pStyle w:val="38"/>
              <w:keepNext w:val="0"/>
              <w:adjustRightInd/>
              <w:spacing w:line="460" w:lineRule="exact"/>
              <w:jc w:val="both"/>
              <w:textAlignment w:val="auto"/>
              <w:rPr>
                <w:b/>
                <w:kern w:val="2"/>
                <w:sz w:val="24"/>
                <w:szCs w:val="24"/>
              </w:rPr>
            </w:pPr>
            <w:r>
              <w:rPr>
                <w:b/>
                <w:kern w:val="2"/>
                <w:sz w:val="24"/>
                <w:szCs w:val="24"/>
              </w:rPr>
              <w:t>环境监测能力建设情况</w:t>
            </w:r>
          </w:p>
          <w:p>
            <w:pPr>
              <w:pStyle w:val="43"/>
              <w:spacing w:line="460" w:lineRule="exact"/>
              <w:ind w:firstLine="480"/>
              <w:rPr>
                <w:color w:val="FF0000"/>
                <w:sz w:val="24"/>
                <w:szCs w:val="24"/>
              </w:rPr>
            </w:pPr>
          </w:p>
          <w:p>
            <w:pPr>
              <w:spacing w:line="460" w:lineRule="exact"/>
              <w:ind w:firstLine="480" w:firstLineChars="200"/>
              <w:rPr>
                <w:rFonts w:hint="eastAsia"/>
                <w:sz w:val="24"/>
              </w:rPr>
            </w:pPr>
            <w:r>
              <w:rPr>
                <w:sz w:val="24"/>
              </w:rPr>
              <w:t>环评时未要求本项目设立环境监测机构，</w:t>
            </w:r>
            <w:r>
              <w:rPr>
                <w:rFonts w:hint="eastAsia"/>
                <w:sz w:val="24"/>
                <w:lang w:val="en-US" w:eastAsia="zh-CN"/>
              </w:rPr>
              <w:t>未</w:t>
            </w:r>
            <w:r>
              <w:rPr>
                <w:sz w:val="24"/>
              </w:rPr>
              <w:t>配备常规监测设备。</w:t>
            </w:r>
            <w:r>
              <w:rPr>
                <w:rFonts w:hint="eastAsia"/>
                <w:sz w:val="24"/>
              </w:rPr>
              <w:t>需要进行日常监测</w:t>
            </w:r>
          </w:p>
          <w:p>
            <w:pPr>
              <w:spacing w:line="460" w:lineRule="exact"/>
              <w:rPr>
                <w:rFonts w:hint="eastAsia" w:eastAsia="宋体"/>
                <w:sz w:val="24"/>
                <w:lang w:eastAsia="zh-CN"/>
              </w:rPr>
            </w:pPr>
            <w:r>
              <w:rPr>
                <w:rFonts w:hint="eastAsia"/>
                <w:sz w:val="24"/>
              </w:rPr>
              <w:t>时委托有资质的第三方进行</w:t>
            </w:r>
            <w:r>
              <w:rPr>
                <w:rFonts w:hint="eastAsia"/>
                <w:sz w:val="24"/>
                <w:lang w:eastAsia="zh-CN"/>
              </w:rPr>
              <w:t>。</w:t>
            </w:r>
          </w:p>
          <w:p>
            <w:pPr>
              <w:pStyle w:val="38"/>
              <w:keepNext w:val="0"/>
              <w:adjustRightInd/>
              <w:spacing w:line="460" w:lineRule="exact"/>
              <w:jc w:val="both"/>
              <w:textAlignment w:val="auto"/>
              <w:rPr>
                <w:color w:val="FF0000"/>
                <w:kern w:val="2"/>
                <w:sz w:val="24"/>
                <w:szCs w:val="24"/>
              </w:rPr>
            </w:pPr>
          </w:p>
          <w:p>
            <w:pPr>
              <w:pStyle w:val="38"/>
              <w:keepNext w:val="0"/>
              <w:adjustRightInd/>
              <w:spacing w:line="460" w:lineRule="exact"/>
              <w:jc w:val="both"/>
              <w:textAlignment w:val="auto"/>
              <w:rPr>
                <w:color w:val="FF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tcBorders>
              <w:bottom w:val="single" w:color="auto" w:sz="4" w:space="0"/>
            </w:tcBorders>
            <w:vAlign w:val="center"/>
          </w:tcPr>
          <w:p>
            <w:pPr>
              <w:spacing w:line="460" w:lineRule="exact"/>
              <w:rPr>
                <w:b/>
                <w:sz w:val="24"/>
              </w:rPr>
            </w:pPr>
            <w:r>
              <w:rPr>
                <w:b/>
                <w:sz w:val="24"/>
              </w:rPr>
              <w:t>环境影响报告表中提出的监测计划及其落实情况</w:t>
            </w:r>
          </w:p>
          <w:p>
            <w:pPr>
              <w:spacing w:line="460" w:lineRule="exact"/>
              <w:ind w:firstLine="480" w:firstLineChars="200"/>
              <w:rPr>
                <w:sz w:val="24"/>
              </w:rPr>
            </w:pPr>
          </w:p>
          <w:p>
            <w:pPr>
              <w:spacing w:line="460" w:lineRule="exact"/>
              <w:ind w:firstLine="480" w:firstLineChars="200"/>
              <w:rPr>
                <w:sz w:val="24"/>
              </w:rPr>
            </w:pPr>
            <w:r>
              <w:rPr>
                <w:sz w:val="24"/>
              </w:rPr>
              <w:t>环评时未提出监测计划。管线投入正常生产后，管线全程密闭输气废气产生量很小。监测控制重点放在</w:t>
            </w:r>
            <w:r>
              <w:rPr>
                <w:rFonts w:hint="eastAsia"/>
                <w:sz w:val="24"/>
              </w:rPr>
              <w:t>保德首站</w:t>
            </w:r>
            <w:r>
              <w:rPr>
                <w:sz w:val="24"/>
              </w:rPr>
              <w:t>噪声对周围环境的影响。</w:t>
            </w:r>
            <w:r>
              <w:rPr>
                <w:rFonts w:hint="eastAsia"/>
                <w:sz w:val="24"/>
              </w:rPr>
              <w:t>保德首站工作人员</w:t>
            </w:r>
            <w:r>
              <w:rPr>
                <w:sz w:val="24"/>
              </w:rPr>
              <w:t>进行定期的场界噪声监测，监测频率为每</w:t>
            </w:r>
            <w:r>
              <w:rPr>
                <w:rFonts w:hint="eastAsia"/>
                <w:sz w:val="24"/>
              </w:rPr>
              <w:t>小时</w:t>
            </w:r>
            <w:r>
              <w:rPr>
                <w:rFonts w:hint="eastAsia"/>
                <w:sz w:val="24"/>
                <w:lang w:val="en-US" w:eastAsia="zh-CN"/>
              </w:rPr>
              <w:t>2</w:t>
            </w:r>
            <w:r>
              <w:rPr>
                <w:sz w:val="24"/>
              </w:rPr>
              <w:t>次，监测方法按照环境保护国家标准的相关要求进行。</w:t>
            </w:r>
          </w:p>
          <w:p>
            <w:pPr>
              <w:spacing w:line="460" w:lineRule="exact"/>
              <w:rPr>
                <w:color w:val="FF0000"/>
                <w:sz w:val="24"/>
              </w:rPr>
            </w:pPr>
          </w:p>
          <w:p>
            <w:pPr>
              <w:spacing w:line="460" w:lineRule="exact"/>
              <w:rPr>
                <w:color w:val="FF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vAlign w:val="center"/>
          </w:tcPr>
          <w:p>
            <w:pPr>
              <w:spacing w:line="460" w:lineRule="exact"/>
              <w:rPr>
                <w:b/>
                <w:sz w:val="24"/>
              </w:rPr>
            </w:pPr>
            <w:r>
              <w:rPr>
                <w:b/>
                <w:sz w:val="24"/>
              </w:rPr>
              <w:t>环境管理状况分析与建议</w:t>
            </w:r>
          </w:p>
          <w:p>
            <w:pPr>
              <w:spacing w:line="460" w:lineRule="exact"/>
              <w:ind w:firstLine="480" w:firstLineChars="200"/>
              <w:rPr>
                <w:sz w:val="24"/>
              </w:rPr>
            </w:pPr>
            <w:r>
              <w:rPr>
                <w:sz w:val="24"/>
              </w:rPr>
              <w:t>该公司环境管理由公司总经理负责，下设专人分管环境管理项目。目前环境管理状况良好。运营期的建议如下：</w:t>
            </w:r>
          </w:p>
          <w:p>
            <w:pPr>
              <w:spacing w:line="460" w:lineRule="exact"/>
              <w:ind w:firstLine="480" w:firstLineChars="200"/>
              <w:rPr>
                <w:sz w:val="24"/>
              </w:rPr>
            </w:pPr>
            <w:r>
              <w:rPr>
                <w:sz w:val="24"/>
              </w:rPr>
              <w:t>（1）加强环境管理水平，提高环境风险防范意识和应对环境突发事故能力，并定期进行演练。</w:t>
            </w:r>
          </w:p>
          <w:p>
            <w:pPr>
              <w:pStyle w:val="43"/>
              <w:spacing w:line="460" w:lineRule="exact"/>
              <w:ind w:firstLine="480"/>
              <w:rPr>
                <w:sz w:val="24"/>
                <w:szCs w:val="24"/>
              </w:rPr>
            </w:pPr>
            <w:r>
              <w:rPr>
                <w:sz w:val="24"/>
              </w:rPr>
              <w:t>（2）做好环保设施维护工作，确保稳定运行。</w:t>
            </w:r>
          </w:p>
          <w:p>
            <w:pPr>
              <w:pStyle w:val="43"/>
              <w:spacing w:line="460" w:lineRule="exact"/>
              <w:ind w:firstLine="480"/>
              <w:rPr>
                <w:color w:val="FF0000"/>
                <w:sz w:val="24"/>
                <w:szCs w:val="24"/>
              </w:rPr>
            </w:pPr>
          </w:p>
          <w:p>
            <w:pPr>
              <w:pStyle w:val="43"/>
              <w:spacing w:line="460" w:lineRule="exact"/>
              <w:ind w:firstLine="0" w:firstLineChars="0"/>
              <w:rPr>
                <w:color w:val="FF0000"/>
                <w:sz w:val="24"/>
                <w:szCs w:val="24"/>
              </w:rPr>
            </w:pPr>
          </w:p>
        </w:tc>
      </w:tr>
    </w:tbl>
    <w:p>
      <w:pPr>
        <w:pStyle w:val="4"/>
        <w:spacing w:before="120" w:after="120"/>
        <w:rPr>
          <w:rFonts w:ascii="Times New Roman"/>
          <w:color w:val="FF0000"/>
          <w:sz w:val="30"/>
          <w:szCs w:val="30"/>
        </w:rPr>
        <w:sectPr>
          <w:pgSz w:w="11906" w:h="16838"/>
          <w:pgMar w:top="1701" w:right="1304" w:bottom="1134" w:left="1418" w:header="1134" w:footer="992" w:gutter="0"/>
          <w:cols w:space="425" w:num="1"/>
          <w:docGrid w:linePitch="312" w:charSpace="0"/>
        </w:sectPr>
      </w:pPr>
    </w:p>
    <w:p>
      <w:pPr>
        <w:pStyle w:val="4"/>
        <w:spacing w:before="120" w:after="120"/>
        <w:rPr>
          <w:rFonts w:ascii="Times New Roman"/>
          <w:color w:val="auto"/>
          <w:sz w:val="30"/>
          <w:szCs w:val="30"/>
        </w:rPr>
      </w:pPr>
      <w:bookmarkStart w:id="86" w:name="_Toc443915690"/>
      <w:r>
        <w:rPr>
          <w:rFonts w:hint="eastAsia" w:ascii="Times New Roman"/>
          <w:color w:val="auto"/>
          <w:sz w:val="30"/>
          <w:szCs w:val="30"/>
        </w:rPr>
        <w:t>表10  调查结论与建议</w:t>
      </w:r>
      <w:bookmarkEnd w:id="86"/>
    </w:p>
    <w:tbl>
      <w:tblPr>
        <w:tblStyle w:val="3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00" w:type="dxa"/>
          </w:tcPr>
          <w:p>
            <w:pPr>
              <w:spacing w:line="460" w:lineRule="exact"/>
              <w:rPr>
                <w:b/>
                <w:color w:val="auto"/>
                <w:sz w:val="24"/>
              </w:rPr>
            </w:pPr>
            <w:r>
              <w:rPr>
                <w:b/>
                <w:color w:val="auto"/>
                <w:sz w:val="24"/>
              </w:rPr>
              <w:t>调查结论及建议：</w:t>
            </w:r>
          </w:p>
          <w:p>
            <w:pPr>
              <w:spacing w:line="460" w:lineRule="exact"/>
              <w:ind w:firstLine="508"/>
              <w:rPr>
                <w:color w:val="auto"/>
                <w:sz w:val="24"/>
              </w:rPr>
            </w:pPr>
            <w:r>
              <w:rPr>
                <w:color w:val="auto"/>
                <w:sz w:val="24"/>
              </w:rPr>
              <w:t>1、工程建设及变</w:t>
            </w:r>
            <w:r>
              <w:rPr>
                <w:rFonts w:hint="eastAsia"/>
                <w:color w:val="auto"/>
                <w:sz w:val="24"/>
                <w:lang w:val="en-US" w:eastAsia="zh-CN"/>
              </w:rPr>
              <w:t>动</w:t>
            </w:r>
            <w:r>
              <w:rPr>
                <w:color w:val="auto"/>
                <w:sz w:val="24"/>
              </w:rPr>
              <w:t>情况调查</w:t>
            </w:r>
          </w:p>
          <w:p>
            <w:pPr>
              <w:spacing w:line="460" w:lineRule="exact"/>
              <w:ind w:firstLine="480" w:firstLineChars="200"/>
              <w:rPr>
                <w:color w:val="auto"/>
                <w:sz w:val="24"/>
              </w:rPr>
            </w:pPr>
            <w:r>
              <w:rPr>
                <w:color w:val="auto"/>
                <w:sz w:val="24"/>
              </w:rPr>
              <w:t>（1）工程建设情况</w:t>
            </w:r>
          </w:p>
          <w:p>
            <w:pPr>
              <w:spacing w:line="460" w:lineRule="exact"/>
              <w:ind w:firstLine="480" w:firstLineChars="200"/>
              <w:rPr>
                <w:bCs/>
                <w:sz w:val="24"/>
              </w:rPr>
            </w:pPr>
            <w:r>
              <w:rPr>
                <w:sz w:val="24"/>
              </w:rPr>
              <w:t>山西省环境保护厅于201</w:t>
            </w:r>
            <w:r>
              <w:rPr>
                <w:rFonts w:hint="eastAsia"/>
                <w:sz w:val="24"/>
              </w:rPr>
              <w:t>6</w:t>
            </w:r>
            <w:r>
              <w:rPr>
                <w:sz w:val="24"/>
              </w:rPr>
              <w:t>年</w:t>
            </w:r>
            <w:r>
              <w:rPr>
                <w:rFonts w:hint="eastAsia"/>
                <w:sz w:val="24"/>
              </w:rPr>
              <w:t>6</w:t>
            </w:r>
            <w:r>
              <w:rPr>
                <w:sz w:val="24"/>
              </w:rPr>
              <w:t>月</w:t>
            </w:r>
            <w:r>
              <w:rPr>
                <w:rFonts w:hint="eastAsia"/>
                <w:sz w:val="24"/>
              </w:rPr>
              <w:t>28</w:t>
            </w:r>
            <w:r>
              <w:rPr>
                <w:sz w:val="24"/>
              </w:rPr>
              <w:t>日以晋环</w:t>
            </w:r>
            <w:r>
              <w:rPr>
                <w:rFonts w:hint="eastAsia"/>
                <w:sz w:val="24"/>
              </w:rPr>
              <w:t>环评</w:t>
            </w:r>
            <w:r>
              <w:rPr>
                <w:sz w:val="24"/>
              </w:rPr>
              <w:t>函[201</w:t>
            </w:r>
            <w:r>
              <w:rPr>
                <w:rFonts w:hint="eastAsia"/>
                <w:sz w:val="24"/>
              </w:rPr>
              <w:t>6</w:t>
            </w:r>
            <w:r>
              <w:rPr>
                <w:sz w:val="24"/>
              </w:rPr>
              <w:t>]2</w:t>
            </w:r>
            <w:r>
              <w:rPr>
                <w:rFonts w:hint="eastAsia"/>
                <w:sz w:val="24"/>
              </w:rPr>
              <w:t>3</w:t>
            </w:r>
            <w:r>
              <w:rPr>
                <w:sz w:val="24"/>
              </w:rPr>
              <w:t>号文对</w:t>
            </w:r>
            <w:r>
              <w:rPr>
                <w:rFonts w:hint="eastAsia"/>
                <w:sz w:val="24"/>
              </w:rPr>
              <w:t>本工程</w:t>
            </w:r>
            <w:r>
              <w:rPr>
                <w:sz w:val="24"/>
              </w:rPr>
              <w:t>报告表进行了批复。</w:t>
            </w:r>
            <w:r>
              <w:rPr>
                <w:rFonts w:hint="eastAsia"/>
                <w:sz w:val="24"/>
              </w:rPr>
              <w:t>本</w:t>
            </w:r>
            <w:r>
              <w:rPr>
                <w:sz w:val="24"/>
              </w:rPr>
              <w:t>工程于201</w:t>
            </w:r>
            <w:r>
              <w:rPr>
                <w:rFonts w:hint="eastAsia"/>
                <w:sz w:val="24"/>
              </w:rPr>
              <w:t>6</w:t>
            </w:r>
            <w:r>
              <w:rPr>
                <w:sz w:val="24"/>
              </w:rPr>
              <w:t>年</w:t>
            </w:r>
            <w:r>
              <w:rPr>
                <w:rFonts w:hint="eastAsia"/>
                <w:sz w:val="24"/>
              </w:rPr>
              <w:t>7</w:t>
            </w:r>
            <w:r>
              <w:rPr>
                <w:sz w:val="24"/>
              </w:rPr>
              <w:t>月开工，201</w:t>
            </w:r>
            <w:r>
              <w:rPr>
                <w:rFonts w:hint="eastAsia"/>
                <w:sz w:val="24"/>
              </w:rPr>
              <w:t>8</w:t>
            </w:r>
            <w:r>
              <w:rPr>
                <w:sz w:val="24"/>
              </w:rPr>
              <w:t>年</w:t>
            </w:r>
            <w:r>
              <w:rPr>
                <w:rFonts w:hint="eastAsia"/>
                <w:sz w:val="24"/>
                <w:lang w:val="en-US" w:eastAsia="zh-CN"/>
              </w:rPr>
              <w:t>7</w:t>
            </w:r>
            <w:r>
              <w:rPr>
                <w:sz w:val="24"/>
              </w:rPr>
              <w:t>月建成投入试运行。</w:t>
            </w:r>
            <w:r>
              <w:rPr>
                <w:bCs/>
                <w:iCs/>
                <w:sz w:val="24"/>
              </w:rPr>
              <w:t>本项目工程内容包括输气管线工程和</w:t>
            </w:r>
            <w:r>
              <w:rPr>
                <w:rFonts w:hint="eastAsia"/>
                <w:bCs/>
                <w:iCs/>
                <w:sz w:val="24"/>
              </w:rPr>
              <w:t>保德首站扩建工程</w:t>
            </w:r>
            <w:r>
              <w:rPr>
                <w:bCs/>
                <w:iCs/>
                <w:sz w:val="24"/>
              </w:rPr>
              <w:t>两部分</w:t>
            </w:r>
            <w:r>
              <w:rPr>
                <w:rFonts w:hint="eastAsia"/>
                <w:bCs/>
                <w:iCs/>
                <w:sz w:val="24"/>
              </w:rPr>
              <w:t>，</w:t>
            </w:r>
            <w:r>
              <w:rPr>
                <w:bCs/>
                <w:sz w:val="24"/>
              </w:rPr>
              <w:t>保德首站扩建</w:t>
            </w:r>
            <w:r>
              <w:rPr>
                <w:rFonts w:hint="eastAsia"/>
                <w:bCs/>
                <w:sz w:val="24"/>
              </w:rPr>
              <w:t>内容是</w:t>
            </w:r>
            <w:r>
              <w:rPr>
                <w:bCs/>
                <w:sz w:val="24"/>
              </w:rPr>
              <w:t>在保德首站分子筛脱水装置后增加计量、流量调节以及清管装置</w:t>
            </w:r>
            <w:r>
              <w:rPr>
                <w:rFonts w:hint="eastAsia"/>
                <w:bCs/>
                <w:sz w:val="24"/>
              </w:rPr>
              <w:t>，输气</w:t>
            </w:r>
            <w:r>
              <w:rPr>
                <w:bCs/>
                <w:sz w:val="24"/>
              </w:rPr>
              <w:t>管道</w:t>
            </w:r>
            <w:r>
              <w:rPr>
                <w:rFonts w:hint="eastAsia"/>
                <w:bCs/>
                <w:sz w:val="24"/>
              </w:rPr>
              <w:t>全长7.18</w:t>
            </w:r>
            <w:r>
              <w:rPr>
                <w:bCs/>
                <w:sz w:val="24"/>
              </w:rPr>
              <w:t>km，设计输气量</w:t>
            </w:r>
            <w:r>
              <w:rPr>
                <w:rFonts w:hint="eastAsia"/>
                <w:bCs/>
                <w:sz w:val="24"/>
              </w:rPr>
              <w:t>1.75</w:t>
            </w:r>
            <w:r>
              <w:rPr>
                <w:bCs/>
                <w:sz w:val="24"/>
              </w:rPr>
              <w:t>×10</w:t>
            </w:r>
            <w:r>
              <w:rPr>
                <w:bCs/>
                <w:sz w:val="24"/>
                <w:vertAlign w:val="superscript"/>
              </w:rPr>
              <w:t>8</w:t>
            </w:r>
            <w:r>
              <w:rPr>
                <w:rFonts w:hint="eastAsia"/>
                <w:bCs/>
                <w:sz w:val="24"/>
              </w:rPr>
              <w:t>N</w:t>
            </w:r>
            <w:r>
              <w:rPr>
                <w:bCs/>
                <w:sz w:val="24"/>
              </w:rPr>
              <w:t>m</w:t>
            </w:r>
            <w:r>
              <w:rPr>
                <w:bCs/>
                <w:sz w:val="24"/>
                <w:vertAlign w:val="superscript"/>
              </w:rPr>
              <w:t>3</w:t>
            </w:r>
            <w:r>
              <w:rPr>
                <w:bCs/>
                <w:sz w:val="24"/>
              </w:rPr>
              <w:t>/a</w:t>
            </w:r>
            <w:r>
              <w:rPr>
                <w:rFonts w:hint="eastAsia"/>
                <w:bCs/>
                <w:sz w:val="24"/>
              </w:rPr>
              <w:t>，</w:t>
            </w:r>
            <w:r>
              <w:rPr>
                <w:bCs/>
                <w:sz w:val="24"/>
              </w:rPr>
              <w:t>管径D</w:t>
            </w:r>
            <w:r>
              <w:rPr>
                <w:rFonts w:hint="eastAsia"/>
                <w:bCs/>
                <w:sz w:val="24"/>
              </w:rPr>
              <w:t>219.1</w:t>
            </w:r>
            <w:r>
              <w:rPr>
                <w:bCs/>
                <w:sz w:val="24"/>
              </w:rPr>
              <w:t>mm，设计压力</w:t>
            </w:r>
            <w:r>
              <w:rPr>
                <w:rFonts w:hint="eastAsia"/>
                <w:bCs/>
                <w:sz w:val="24"/>
              </w:rPr>
              <w:t>6.3</w:t>
            </w:r>
            <w:r>
              <w:rPr>
                <w:bCs/>
                <w:sz w:val="24"/>
              </w:rPr>
              <w:t>MPa</w:t>
            </w:r>
            <w:r>
              <w:rPr>
                <w:rFonts w:hint="eastAsia"/>
                <w:bCs/>
                <w:sz w:val="24"/>
              </w:rPr>
              <w:t>。</w:t>
            </w:r>
            <w:r>
              <w:rPr>
                <w:bCs/>
                <w:sz w:val="24"/>
              </w:rPr>
              <w:t>以及相应的管道防腐、阴极保护、管道开挖和穿越工程。</w:t>
            </w:r>
          </w:p>
          <w:p>
            <w:pPr>
              <w:spacing w:line="460" w:lineRule="exact"/>
              <w:ind w:firstLine="480" w:firstLineChars="200"/>
              <w:rPr>
                <w:sz w:val="24"/>
              </w:rPr>
            </w:pPr>
            <w:r>
              <w:rPr>
                <w:bCs/>
                <w:sz w:val="24"/>
              </w:rPr>
              <w:t>项目实际总投资</w:t>
            </w:r>
            <w:r>
              <w:rPr>
                <w:rFonts w:hint="eastAsia"/>
                <w:color w:val="auto"/>
                <w:sz w:val="24"/>
                <w:lang w:val="en-US" w:eastAsia="zh-CN"/>
              </w:rPr>
              <w:t>2197.5</w:t>
            </w:r>
            <w:r>
              <w:rPr>
                <w:bCs/>
                <w:sz w:val="24"/>
              </w:rPr>
              <w:t>万元，</w:t>
            </w:r>
            <w:r>
              <w:rPr>
                <w:sz w:val="24"/>
              </w:rPr>
              <w:t>实际环</w:t>
            </w:r>
            <w:r>
              <w:rPr>
                <w:color w:val="auto"/>
                <w:sz w:val="24"/>
              </w:rPr>
              <w:t>保投资</w:t>
            </w:r>
            <w:r>
              <w:rPr>
                <w:rFonts w:hint="eastAsia"/>
                <w:color w:val="auto"/>
                <w:sz w:val="24"/>
              </w:rPr>
              <w:t>4</w:t>
            </w:r>
            <w:r>
              <w:rPr>
                <w:rFonts w:hint="eastAsia"/>
                <w:color w:val="auto"/>
                <w:sz w:val="24"/>
                <w:lang w:val="en-US" w:eastAsia="zh-CN"/>
              </w:rPr>
              <w:t>2</w:t>
            </w:r>
            <w:r>
              <w:rPr>
                <w:color w:val="auto"/>
                <w:sz w:val="24"/>
              </w:rPr>
              <w:t>万元，占总投资的</w:t>
            </w:r>
            <w:r>
              <w:rPr>
                <w:rFonts w:hint="eastAsia"/>
                <w:color w:val="auto"/>
                <w:sz w:val="24"/>
                <w:lang w:val="en-US" w:eastAsia="zh-CN"/>
              </w:rPr>
              <w:t>1.91</w:t>
            </w:r>
            <w:r>
              <w:rPr>
                <w:color w:val="auto"/>
                <w:sz w:val="24"/>
              </w:rPr>
              <w:t>%。</w:t>
            </w:r>
          </w:p>
          <w:p>
            <w:pPr>
              <w:spacing w:line="460" w:lineRule="exact"/>
              <w:ind w:firstLine="480" w:firstLineChars="200"/>
              <w:rPr>
                <w:sz w:val="24"/>
              </w:rPr>
            </w:pPr>
            <w:r>
              <w:rPr>
                <w:sz w:val="24"/>
              </w:rPr>
              <w:t>（2）工程变</w:t>
            </w:r>
            <w:r>
              <w:rPr>
                <w:rFonts w:hint="eastAsia"/>
                <w:sz w:val="24"/>
                <w:lang w:val="en-US" w:eastAsia="zh-CN"/>
              </w:rPr>
              <w:t>动</w:t>
            </w:r>
            <w:r>
              <w:rPr>
                <w:sz w:val="24"/>
              </w:rPr>
              <w:t>情况</w:t>
            </w:r>
          </w:p>
          <w:p>
            <w:pPr>
              <w:spacing w:line="460" w:lineRule="exact"/>
              <w:ind w:firstLine="432" w:firstLineChars="180"/>
              <w:rPr>
                <w:sz w:val="24"/>
              </w:rPr>
            </w:pPr>
            <w:r>
              <w:rPr>
                <w:rFonts w:hint="eastAsia"/>
                <w:sz w:val="24"/>
              </w:rPr>
              <w:t>1</w:t>
            </w:r>
            <w:r>
              <w:rPr>
                <w:sz w:val="24"/>
              </w:rPr>
              <w:t>）</w:t>
            </w:r>
            <w:r>
              <w:rPr>
                <w:rFonts w:hint="eastAsia"/>
                <w:sz w:val="24"/>
              </w:rPr>
              <w:t>花园村东北-五保高速</w:t>
            </w:r>
            <w:r>
              <w:rPr>
                <w:sz w:val="24"/>
              </w:rPr>
              <w:t>段</w:t>
            </w:r>
            <w:r>
              <w:rPr>
                <w:rFonts w:hint="eastAsia"/>
                <w:sz w:val="24"/>
              </w:rPr>
              <w:t>管线</w:t>
            </w:r>
            <w:r>
              <w:rPr>
                <w:sz w:val="24"/>
              </w:rPr>
              <w:t>路由有变化，</w:t>
            </w:r>
            <w:r>
              <w:rPr>
                <w:rFonts w:hint="eastAsia"/>
                <w:sz w:val="24"/>
              </w:rPr>
              <w:t>该段</w:t>
            </w:r>
            <w:r>
              <w:rPr>
                <w:sz w:val="24"/>
              </w:rPr>
              <w:t>线路</w:t>
            </w:r>
            <w:r>
              <w:rPr>
                <w:rFonts w:hint="eastAsia"/>
                <w:sz w:val="24"/>
              </w:rPr>
              <w:t>设计</w:t>
            </w:r>
            <w:r>
              <w:rPr>
                <w:sz w:val="24"/>
              </w:rPr>
              <w:t>水平长度</w:t>
            </w:r>
            <w:r>
              <w:rPr>
                <w:rFonts w:hint="eastAsia"/>
                <w:sz w:val="24"/>
              </w:rPr>
              <w:t>约1.63km，实际</w:t>
            </w:r>
            <w:r>
              <w:rPr>
                <w:sz w:val="24"/>
              </w:rPr>
              <w:t>水平长度约</w:t>
            </w:r>
            <w:r>
              <w:rPr>
                <w:rFonts w:hint="eastAsia"/>
                <w:sz w:val="24"/>
              </w:rPr>
              <w:t>1.8</w:t>
            </w:r>
            <w:r>
              <w:rPr>
                <w:sz w:val="24"/>
              </w:rPr>
              <w:t>km</w:t>
            </w:r>
            <w:r>
              <w:rPr>
                <w:rFonts w:hint="eastAsia"/>
                <w:sz w:val="24"/>
              </w:rPr>
              <w:t>，</w:t>
            </w:r>
            <w:r>
              <w:rPr>
                <w:sz w:val="24"/>
              </w:rPr>
              <w:t>最大</w:t>
            </w:r>
            <w:r>
              <w:rPr>
                <w:rFonts w:hint="eastAsia"/>
                <w:sz w:val="24"/>
              </w:rPr>
              <w:t>水平</w:t>
            </w:r>
            <w:r>
              <w:rPr>
                <w:sz w:val="24"/>
              </w:rPr>
              <w:t>位移长度</w:t>
            </w:r>
            <w:r>
              <w:rPr>
                <w:rFonts w:hint="eastAsia"/>
                <w:sz w:val="24"/>
              </w:rPr>
              <w:t>0.59k</w:t>
            </w:r>
            <w:r>
              <w:rPr>
                <w:sz w:val="24"/>
              </w:rPr>
              <w:t>m</w:t>
            </w:r>
            <w:r>
              <w:rPr>
                <w:rFonts w:hint="eastAsia"/>
                <w:sz w:val="24"/>
              </w:rPr>
              <w:t>。</w:t>
            </w:r>
          </w:p>
          <w:p>
            <w:pPr>
              <w:spacing w:line="460" w:lineRule="exact"/>
              <w:ind w:firstLine="432" w:firstLineChars="180"/>
              <w:rPr>
                <w:sz w:val="24"/>
              </w:rPr>
            </w:pPr>
            <w:r>
              <w:rPr>
                <w:sz w:val="24"/>
              </w:rPr>
              <w:t>2）</w:t>
            </w:r>
            <w:r>
              <w:rPr>
                <w:rFonts w:hint="eastAsia"/>
                <w:sz w:val="24"/>
              </w:rPr>
              <w:t>朱家川河、五保高速匝道穿越位置发生变动。</w:t>
            </w:r>
          </w:p>
          <w:p>
            <w:pPr>
              <w:spacing w:line="460" w:lineRule="exact"/>
              <w:ind w:firstLine="432" w:firstLineChars="180"/>
              <w:rPr>
                <w:sz w:val="24"/>
              </w:rPr>
            </w:pPr>
            <w:r>
              <w:rPr>
                <w:rFonts w:hint="eastAsia"/>
                <w:sz w:val="24"/>
              </w:rPr>
              <w:t>环评中朱家川河穿越位置位于前会村南</w:t>
            </w:r>
            <w:r>
              <w:rPr>
                <w:rFonts w:hint="eastAsia"/>
                <w:sz w:val="24"/>
                <w:lang w:val="en-US" w:eastAsia="zh-CN"/>
              </w:rPr>
              <w:t>280</w:t>
            </w:r>
            <w:r>
              <w:rPr>
                <w:sz w:val="24"/>
              </w:rPr>
              <w:t>m</w:t>
            </w:r>
            <w:r>
              <w:rPr>
                <w:rFonts w:hint="eastAsia"/>
                <w:sz w:val="24"/>
              </w:rPr>
              <w:t>，穿越长度107m</w:t>
            </w:r>
            <w:r>
              <w:rPr>
                <w:rFonts w:hint="eastAsia"/>
                <w:sz w:val="24"/>
                <w:lang w:eastAsia="zh-CN"/>
              </w:rPr>
              <w:t>。</w:t>
            </w:r>
            <w:r>
              <w:rPr>
                <w:rFonts w:hint="eastAsia"/>
                <w:sz w:val="24"/>
              </w:rPr>
              <w:t>实际穿越位置位于前会村南</w:t>
            </w:r>
            <w:r>
              <w:rPr>
                <w:rFonts w:hint="eastAsia"/>
                <w:sz w:val="24"/>
                <w:lang w:val="en-US" w:eastAsia="zh-CN"/>
              </w:rPr>
              <w:t>380</w:t>
            </w:r>
            <w:r>
              <w:rPr>
                <w:rFonts w:hint="eastAsia"/>
                <w:sz w:val="24"/>
              </w:rPr>
              <w:t>m，穿越长度90m。</w:t>
            </w:r>
          </w:p>
          <w:p>
            <w:pPr>
              <w:spacing w:line="460" w:lineRule="exact"/>
              <w:ind w:firstLine="432" w:firstLineChars="180"/>
              <w:rPr>
                <w:rFonts w:hint="eastAsia"/>
                <w:sz w:val="24"/>
                <w:lang w:eastAsia="zh-CN"/>
              </w:rPr>
            </w:pPr>
            <w:r>
              <w:rPr>
                <w:rFonts w:hint="eastAsia"/>
                <w:sz w:val="24"/>
              </w:rPr>
              <w:t>环评中</w:t>
            </w:r>
            <w:r>
              <w:rPr>
                <w:rFonts w:hint="eastAsia"/>
                <w:sz w:val="24"/>
                <w:lang w:val="en-US" w:eastAsia="zh-CN"/>
              </w:rPr>
              <w:t>穿越</w:t>
            </w:r>
            <w:r>
              <w:rPr>
                <w:rFonts w:hint="eastAsia"/>
                <w:sz w:val="24"/>
              </w:rPr>
              <w:t>五保高速匝道</w:t>
            </w:r>
            <w:r>
              <w:rPr>
                <w:rFonts w:hint="eastAsia"/>
                <w:sz w:val="24"/>
                <w:lang w:val="en-US" w:eastAsia="zh-CN"/>
              </w:rPr>
              <w:t>2次，</w:t>
            </w:r>
            <w:r>
              <w:rPr>
                <w:rFonts w:hint="eastAsia"/>
                <w:sz w:val="24"/>
              </w:rPr>
              <w:t>穿越位置位于前会村南</w:t>
            </w:r>
            <w:r>
              <w:rPr>
                <w:rFonts w:hint="eastAsia"/>
                <w:sz w:val="24"/>
                <w:lang w:val="en-US" w:eastAsia="zh-CN"/>
              </w:rPr>
              <w:t>330</w:t>
            </w:r>
            <w:r>
              <w:rPr>
                <w:sz w:val="24"/>
              </w:rPr>
              <w:t>m</w:t>
            </w:r>
            <w:r>
              <w:rPr>
                <w:rFonts w:hint="eastAsia"/>
                <w:sz w:val="24"/>
                <w:lang w:eastAsia="zh-CN"/>
              </w:rPr>
              <w:t>。</w:t>
            </w:r>
            <w:r>
              <w:rPr>
                <w:rFonts w:hint="eastAsia"/>
                <w:sz w:val="24"/>
              </w:rPr>
              <w:t>实际</w:t>
            </w:r>
            <w:r>
              <w:rPr>
                <w:rFonts w:hint="eastAsia"/>
                <w:sz w:val="24"/>
                <w:lang w:val="en-US" w:eastAsia="zh-CN"/>
              </w:rPr>
              <w:t>穿越</w:t>
            </w:r>
            <w:r>
              <w:rPr>
                <w:rFonts w:hint="eastAsia"/>
                <w:sz w:val="24"/>
              </w:rPr>
              <w:t>五保高速匝道</w:t>
            </w:r>
            <w:r>
              <w:rPr>
                <w:rFonts w:hint="eastAsia"/>
                <w:sz w:val="24"/>
                <w:lang w:val="en-US" w:eastAsia="zh-CN"/>
              </w:rPr>
              <w:t>2次：在</w:t>
            </w:r>
            <w:r>
              <w:rPr>
                <w:rFonts w:hint="eastAsia"/>
                <w:sz w:val="24"/>
              </w:rPr>
              <w:t>前会村西南320m穿越五保高速匝道1次，穿越长度约18m</w:t>
            </w:r>
            <w:r>
              <w:rPr>
                <w:rFonts w:hint="eastAsia"/>
                <w:sz w:val="24"/>
                <w:lang w:eastAsia="zh-CN"/>
              </w:rPr>
              <w:t>，</w:t>
            </w:r>
            <w:r>
              <w:rPr>
                <w:rFonts w:hint="eastAsia"/>
                <w:sz w:val="24"/>
                <w:lang w:val="en-US" w:eastAsia="zh-CN"/>
              </w:rPr>
              <w:t>在</w:t>
            </w:r>
            <w:r>
              <w:rPr>
                <w:rFonts w:hint="eastAsia"/>
                <w:sz w:val="24"/>
              </w:rPr>
              <w:t>前会村西南250m穿越五保高速</w:t>
            </w:r>
            <w:r>
              <w:rPr>
                <w:rFonts w:hint="eastAsia"/>
                <w:sz w:val="24"/>
                <w:lang w:val="en-US" w:eastAsia="zh-CN"/>
              </w:rPr>
              <w:t>匝道1</w:t>
            </w:r>
            <w:r>
              <w:rPr>
                <w:rFonts w:hint="eastAsia"/>
                <w:sz w:val="24"/>
              </w:rPr>
              <w:t>次，穿越长度约75m</w:t>
            </w:r>
            <w:r>
              <w:rPr>
                <w:rFonts w:hint="eastAsia"/>
                <w:sz w:val="24"/>
                <w:lang w:eastAsia="zh-CN"/>
              </w:rPr>
              <w:t>。</w:t>
            </w:r>
          </w:p>
          <w:p>
            <w:pPr>
              <w:spacing w:line="460" w:lineRule="exact"/>
              <w:ind w:firstLine="432" w:firstLineChars="180"/>
              <w:rPr>
                <w:rFonts w:hint="eastAsia"/>
                <w:sz w:val="24"/>
                <w:lang w:eastAsia="zh-CN"/>
              </w:rPr>
            </w:pPr>
            <w:r>
              <w:rPr>
                <w:rFonts w:hint="default" w:ascii="Times New Roman" w:hAnsi="Times New Roman" w:cs="Times New Roman" w:eastAsiaTheme="minorEastAsia"/>
                <w:color w:val="auto"/>
                <w:sz w:val="24"/>
              </w:rPr>
              <w:t>结合项目建设完成情况，依据《关于印发环评管理中部分行业建设项目重大变动清单的通知》（环办[2015]52号）中的相关规定，本项目</w:t>
            </w:r>
            <w:r>
              <w:rPr>
                <w:rFonts w:hint="eastAsia" w:ascii="Times New Roman" w:hAnsi="Times New Roman" w:cs="Times New Roman" w:eastAsiaTheme="minorEastAsia"/>
                <w:color w:val="auto"/>
                <w:sz w:val="24"/>
                <w:lang w:val="en-US" w:eastAsia="zh-CN"/>
              </w:rPr>
              <w:t>线路或伴行道路增加长度未达到原线路总长度的30%，</w:t>
            </w:r>
            <w:r>
              <w:rPr>
                <w:rFonts w:hint="default" w:ascii="Times New Roman" w:hAnsi="Times New Roman" w:cs="Times New Roman" w:eastAsiaTheme="minorEastAsia"/>
                <w:color w:val="auto"/>
                <w:sz w:val="24"/>
              </w:rPr>
              <w:t>不</w:t>
            </w:r>
            <w:r>
              <w:rPr>
                <w:rFonts w:hint="eastAsia" w:ascii="Times New Roman" w:hAnsi="Times New Roman" w:cs="Times New Roman" w:eastAsiaTheme="minorEastAsia"/>
                <w:color w:val="auto"/>
                <w:sz w:val="24"/>
                <w:lang w:val="en-US" w:eastAsia="zh-CN"/>
              </w:rPr>
              <w:t>属于</w:t>
            </w:r>
            <w:r>
              <w:rPr>
                <w:rFonts w:hint="default" w:ascii="Times New Roman" w:hAnsi="Times New Roman" w:cs="Times New Roman" w:eastAsiaTheme="minorEastAsia"/>
                <w:color w:val="auto"/>
                <w:sz w:val="24"/>
              </w:rPr>
              <w:t>重大变</w:t>
            </w:r>
            <w:r>
              <w:rPr>
                <w:rFonts w:hint="eastAsia" w:ascii="Times New Roman" w:hAnsi="Times New Roman" w:cs="Times New Roman" w:eastAsiaTheme="minorEastAsia"/>
                <w:color w:val="auto"/>
                <w:sz w:val="24"/>
                <w:lang w:val="en-US" w:eastAsia="zh-CN"/>
              </w:rPr>
              <w:t>动</w:t>
            </w:r>
            <w:r>
              <w:rPr>
                <w:rFonts w:hint="eastAsia" w:cs="Times New Roman" w:eastAsiaTheme="minorEastAsia"/>
                <w:color w:val="auto"/>
                <w:sz w:val="24"/>
                <w:lang w:val="en-US" w:eastAsia="zh-CN"/>
              </w:rPr>
              <w:t>。</w:t>
            </w:r>
          </w:p>
          <w:p>
            <w:pPr>
              <w:spacing w:line="460" w:lineRule="exact"/>
              <w:ind w:firstLine="470" w:firstLineChars="196"/>
              <w:rPr>
                <w:sz w:val="24"/>
              </w:rPr>
            </w:pPr>
            <w:r>
              <w:rPr>
                <w:sz w:val="24"/>
              </w:rPr>
              <w:t>2、环境保护措施落实情况</w:t>
            </w:r>
          </w:p>
          <w:p>
            <w:pPr>
              <w:spacing w:line="460" w:lineRule="exact"/>
              <w:ind w:firstLine="480" w:firstLineChars="200"/>
              <w:rPr>
                <w:sz w:val="24"/>
              </w:rPr>
            </w:pPr>
            <w:r>
              <w:rPr>
                <w:sz w:val="24"/>
              </w:rPr>
              <w:t>本工程在环境影响报告表中提出了较为全面、详细的环境保护措施。环评及批复中提出的各项环保要求在工程实际建设中和初期试运营阶段已得到基本落实。</w:t>
            </w:r>
          </w:p>
          <w:p>
            <w:pPr>
              <w:spacing w:line="460" w:lineRule="exact"/>
              <w:ind w:firstLine="508"/>
              <w:rPr>
                <w:sz w:val="24"/>
              </w:rPr>
            </w:pPr>
            <w:r>
              <w:rPr>
                <w:sz w:val="24"/>
              </w:rPr>
              <w:t>3、结论</w:t>
            </w:r>
          </w:p>
          <w:p>
            <w:pPr>
              <w:spacing w:line="460" w:lineRule="exact"/>
              <w:ind w:firstLine="508"/>
              <w:rPr>
                <w:sz w:val="24"/>
              </w:rPr>
            </w:pPr>
            <w:r>
              <w:rPr>
                <w:sz w:val="24"/>
              </w:rPr>
              <w:t>（1）生态调查结果</w:t>
            </w:r>
          </w:p>
          <w:p>
            <w:pPr>
              <w:spacing w:line="460" w:lineRule="exact"/>
              <w:ind w:firstLine="508"/>
              <w:rPr>
                <w:bCs/>
                <w:sz w:val="24"/>
              </w:rPr>
            </w:pPr>
            <w:r>
              <w:rPr>
                <w:sz w:val="24"/>
              </w:rPr>
              <w:t>现场调查时对站场区域、管线两侧进行了现场踏勘，站场场地已全部平整硬化，管道铺设完毕，对施工场地及占用的耕地进行了清理、恢复。对穿越地带、修筑护坡进行保护，对河流大开挖地段进行河道恢复，未发现施工废料乱堆乱弃现象。总体来看，本工程在施工和建设过程中较好的执行了环评提出的各项生态保护措施，</w:t>
            </w:r>
            <w:r>
              <w:rPr>
                <w:bCs/>
                <w:sz w:val="24"/>
              </w:rPr>
              <w:t>项目的建设没有造成明显的生态环境影响。</w:t>
            </w:r>
          </w:p>
          <w:p>
            <w:pPr>
              <w:spacing w:line="460" w:lineRule="exact"/>
              <w:ind w:firstLine="508"/>
              <w:rPr>
                <w:sz w:val="24"/>
              </w:rPr>
            </w:pPr>
            <w:r>
              <w:rPr>
                <w:sz w:val="24"/>
              </w:rPr>
              <w:t>（2）污染影响调查结果</w:t>
            </w:r>
          </w:p>
          <w:p>
            <w:pPr>
              <w:spacing w:line="460" w:lineRule="exact"/>
              <w:ind w:firstLine="470" w:firstLineChars="196"/>
              <w:rPr>
                <w:sz w:val="24"/>
              </w:rPr>
            </w:pPr>
            <w:r>
              <w:rPr>
                <w:rFonts w:hint="eastAsia"/>
                <w:sz w:val="24"/>
              </w:rPr>
              <w:t>保德首站设有25m高</w:t>
            </w:r>
            <w:r>
              <w:rPr>
                <w:sz w:val="24"/>
              </w:rPr>
              <w:t>放空火炬</w:t>
            </w:r>
            <w:r>
              <w:rPr>
                <w:rFonts w:hint="eastAsia"/>
                <w:sz w:val="24"/>
              </w:rPr>
              <w:t>。保德首站</w:t>
            </w:r>
            <w:r>
              <w:rPr>
                <w:sz w:val="24"/>
              </w:rPr>
              <w:t>设</w:t>
            </w:r>
            <w:r>
              <w:rPr>
                <w:rFonts w:hint="eastAsia"/>
                <w:sz w:val="24"/>
              </w:rPr>
              <w:t>有</w:t>
            </w:r>
            <w:r>
              <w:rPr>
                <w:sz w:val="24"/>
              </w:rPr>
              <w:t>1个</w:t>
            </w:r>
            <w:r>
              <w:rPr>
                <w:rFonts w:hint="eastAsia"/>
                <w:sz w:val="24"/>
              </w:rPr>
              <w:t>50</w:t>
            </w:r>
            <w:r>
              <w:rPr>
                <w:sz w:val="24"/>
              </w:rPr>
              <w:t>m</w:t>
            </w:r>
            <w:r>
              <w:rPr>
                <w:sz w:val="24"/>
                <w:vertAlign w:val="superscript"/>
              </w:rPr>
              <w:t>3</w:t>
            </w:r>
            <w:r>
              <w:rPr>
                <w:rFonts w:hint="eastAsia"/>
                <w:sz w:val="24"/>
              </w:rPr>
              <w:t>生活污水沉淀</w:t>
            </w:r>
            <w:r>
              <w:rPr>
                <w:sz w:val="24"/>
              </w:rPr>
              <w:t>池</w:t>
            </w:r>
            <w:r>
              <w:rPr>
                <w:rFonts w:hint="eastAsia"/>
                <w:sz w:val="24"/>
              </w:rPr>
              <w:t>和</w:t>
            </w:r>
            <w:r>
              <w:rPr>
                <w:sz w:val="24"/>
              </w:rPr>
              <w:t>1个</w:t>
            </w:r>
            <w:r>
              <w:rPr>
                <w:rFonts w:hint="eastAsia"/>
                <w:sz w:val="24"/>
              </w:rPr>
              <w:t>70</w:t>
            </w:r>
            <w:r>
              <w:rPr>
                <w:sz w:val="24"/>
              </w:rPr>
              <w:t>m</w:t>
            </w:r>
            <w:r>
              <w:rPr>
                <w:sz w:val="24"/>
                <w:vertAlign w:val="superscript"/>
              </w:rPr>
              <w:t>3</w:t>
            </w:r>
            <w:r>
              <w:rPr>
                <w:sz w:val="24"/>
              </w:rPr>
              <w:t>排污池</w:t>
            </w:r>
            <w:r>
              <w:rPr>
                <w:rFonts w:hint="eastAsia"/>
                <w:sz w:val="24"/>
              </w:rPr>
              <w:t>。固体</w:t>
            </w:r>
            <w:r>
              <w:rPr>
                <w:sz w:val="24"/>
              </w:rPr>
              <w:t>废物均得到了合理处置。通过噪声监测，</w:t>
            </w:r>
            <w:r>
              <w:rPr>
                <w:rFonts w:hint="eastAsia"/>
                <w:sz w:val="24"/>
              </w:rPr>
              <w:t>保德首站</w:t>
            </w:r>
            <w:r>
              <w:rPr>
                <w:sz w:val="24"/>
              </w:rPr>
              <w:t>的场界四周噪声监测值</w:t>
            </w:r>
            <w:r>
              <w:rPr>
                <w:rFonts w:hint="eastAsia"/>
                <w:sz w:val="24"/>
              </w:rPr>
              <w:t>均</w:t>
            </w:r>
            <w:r>
              <w:rPr>
                <w:sz w:val="24"/>
              </w:rPr>
              <w:t>满足《工业企业厂界环境噪声排放标准》（GB12348-2008）中</w:t>
            </w:r>
            <w:r>
              <w:rPr>
                <w:rFonts w:hint="eastAsia"/>
                <w:sz w:val="24"/>
              </w:rPr>
              <w:t>2</w:t>
            </w:r>
            <w:r>
              <w:rPr>
                <w:sz w:val="24"/>
              </w:rPr>
              <w:t>类标准要求，声环境敏感目标均满足《声环境质量标准》（GB3096-2008）中</w:t>
            </w:r>
            <w:r>
              <w:rPr>
                <w:rFonts w:hint="eastAsia"/>
                <w:sz w:val="24"/>
              </w:rPr>
              <w:t>2类</w:t>
            </w:r>
            <w:r>
              <w:rPr>
                <w:sz w:val="24"/>
              </w:rPr>
              <w:t>标准要求，无噪声扰民现象。</w:t>
            </w:r>
          </w:p>
          <w:p>
            <w:pPr>
              <w:spacing w:line="460" w:lineRule="exact"/>
              <w:ind w:firstLine="508"/>
              <w:rPr>
                <w:sz w:val="24"/>
              </w:rPr>
            </w:pPr>
            <w:r>
              <w:rPr>
                <w:sz w:val="24"/>
              </w:rPr>
              <w:t>（3）社会影响调查结果</w:t>
            </w:r>
          </w:p>
          <w:p>
            <w:pPr>
              <w:spacing w:line="460" w:lineRule="exact"/>
              <w:ind w:firstLine="508"/>
              <w:rPr>
                <w:sz w:val="24"/>
              </w:rPr>
            </w:pPr>
            <w:r>
              <w:rPr>
                <w:sz w:val="24"/>
              </w:rPr>
              <w:t>本管线工程建设未涉及搬迁。项目建成后，项目区的燃料结构将发生变化，用天然气代替目前的煤炭。由于天然气为清洁能源燃料，燃烧过程中产生的污染物很少，使当地TSP、SO</w:t>
            </w:r>
            <w:r>
              <w:rPr>
                <w:sz w:val="24"/>
                <w:vertAlign w:val="subscript"/>
              </w:rPr>
              <w:t>2</w:t>
            </w:r>
            <w:r>
              <w:rPr>
                <w:sz w:val="24"/>
              </w:rPr>
              <w:t>等污染物排放量大大减少，使这些地区环境空气质量将有明显改善。</w:t>
            </w:r>
          </w:p>
          <w:p>
            <w:pPr>
              <w:spacing w:line="460" w:lineRule="exact"/>
              <w:ind w:firstLine="508"/>
              <w:rPr>
                <w:color w:val="FF0000"/>
                <w:sz w:val="24"/>
              </w:rPr>
            </w:pPr>
            <w:r>
              <w:rPr>
                <w:sz w:val="24"/>
              </w:rPr>
              <w:t>本工程具有良好的社会、经济和环境效益，尤其具有突出的大气环境效益。</w:t>
            </w:r>
          </w:p>
          <w:p>
            <w:pPr>
              <w:spacing w:line="460" w:lineRule="exact"/>
              <w:ind w:firstLine="508"/>
              <w:rPr>
                <w:sz w:val="24"/>
              </w:rPr>
            </w:pPr>
            <w:r>
              <w:rPr>
                <w:sz w:val="24"/>
              </w:rPr>
              <w:t>（4）现场检查结果</w:t>
            </w:r>
          </w:p>
          <w:p>
            <w:pPr>
              <w:spacing w:line="460" w:lineRule="exact"/>
              <w:ind w:firstLine="508"/>
              <w:rPr>
                <w:sz w:val="24"/>
              </w:rPr>
            </w:pPr>
            <w:r>
              <w:rPr>
                <w:sz w:val="24"/>
              </w:rPr>
              <w:t>本工程各项环保措施执行情况良好；其建设期和运营期对周围环境的影响很小；设有环境管理机构和管理制度，环境管理状况良好。</w:t>
            </w:r>
          </w:p>
          <w:p>
            <w:pPr>
              <w:spacing w:line="460" w:lineRule="exact"/>
              <w:ind w:firstLine="508"/>
              <w:rPr>
                <w:color w:val="auto"/>
                <w:sz w:val="24"/>
              </w:rPr>
            </w:pPr>
            <w:r>
              <w:rPr>
                <w:color w:val="auto"/>
                <w:sz w:val="24"/>
              </w:rPr>
              <w:t>山西天然气有限公司</w:t>
            </w:r>
            <w:r>
              <w:rPr>
                <w:rFonts w:hint="eastAsia"/>
                <w:color w:val="auto"/>
                <w:sz w:val="24"/>
                <w:lang w:val="en-US" w:eastAsia="zh-CN"/>
              </w:rPr>
              <w:t>已编制应急预案</w:t>
            </w:r>
            <w:r>
              <w:rPr>
                <w:color w:val="auto"/>
                <w:sz w:val="24"/>
              </w:rPr>
              <w:t>。</w:t>
            </w:r>
          </w:p>
          <w:p>
            <w:pPr>
              <w:spacing w:line="460" w:lineRule="exact"/>
              <w:ind w:firstLine="508"/>
              <w:rPr>
                <w:sz w:val="24"/>
              </w:rPr>
            </w:pPr>
            <w:r>
              <w:rPr>
                <w:sz w:val="24"/>
              </w:rPr>
              <w:t>（5）验收调查结论</w:t>
            </w:r>
          </w:p>
          <w:p>
            <w:pPr>
              <w:spacing w:line="460" w:lineRule="exact"/>
              <w:ind w:firstLine="508"/>
              <w:rPr>
                <w:sz w:val="24"/>
              </w:rPr>
            </w:pPr>
            <w:r>
              <w:rPr>
                <w:sz w:val="24"/>
              </w:rPr>
              <w:t>山西天然气有限公司</w:t>
            </w:r>
            <w:r>
              <w:rPr>
                <w:rFonts w:hint="eastAsia"/>
                <w:sz w:val="24"/>
              </w:rPr>
              <w:t>保德燃气（煤层气）热电联产项目供气专线</w:t>
            </w:r>
            <w:r>
              <w:rPr>
                <w:sz w:val="24"/>
              </w:rPr>
              <w:t>工程</w:t>
            </w:r>
            <w:r>
              <w:rPr>
                <w:rFonts w:ascii="宋体" w:hAnsi="宋体"/>
                <w:sz w:val="24"/>
              </w:rPr>
              <w:t>“三同时”</w:t>
            </w:r>
            <w:r>
              <w:rPr>
                <w:sz w:val="24"/>
              </w:rPr>
              <w:t>执行情况较好。经调查，该项目环评报告表和批复中提出的环保措施中，建设单位按要求</w:t>
            </w:r>
            <w:r>
              <w:rPr>
                <w:rFonts w:hint="eastAsia"/>
                <w:sz w:val="24"/>
              </w:rPr>
              <w:t>基本</w:t>
            </w:r>
            <w:r>
              <w:rPr>
                <w:sz w:val="24"/>
              </w:rPr>
              <w:t>进行了落实，其建设期和运营期对周围环境的影响很小；设有环境管理机构和管理制度，环境管理状况良好。</w:t>
            </w:r>
          </w:p>
          <w:p>
            <w:pPr>
              <w:spacing w:line="460" w:lineRule="exact"/>
              <w:ind w:firstLine="508"/>
              <w:rPr>
                <w:sz w:val="24"/>
              </w:rPr>
            </w:pPr>
            <w:r>
              <w:rPr>
                <w:sz w:val="24"/>
              </w:rPr>
              <w:t>综合上述调查结果，本工程基本达到竣工环境保护验收条件，建议予以验收。</w:t>
            </w:r>
          </w:p>
          <w:p>
            <w:pPr>
              <w:spacing w:line="460" w:lineRule="exact"/>
              <w:ind w:firstLine="508"/>
              <w:rPr>
                <w:sz w:val="24"/>
              </w:rPr>
            </w:pPr>
            <w:r>
              <w:rPr>
                <w:sz w:val="24"/>
              </w:rPr>
              <w:t>4、建议</w:t>
            </w:r>
          </w:p>
          <w:p>
            <w:pPr>
              <w:spacing w:line="460" w:lineRule="exact"/>
              <w:ind w:firstLine="480" w:firstLineChars="200"/>
              <w:rPr>
                <w:sz w:val="24"/>
              </w:rPr>
            </w:pPr>
            <w:r>
              <w:rPr>
                <w:sz w:val="24"/>
              </w:rPr>
              <w:t>（1）企业按照环境风险应急预案要求加强风险管理，定期进行演练。</w:t>
            </w:r>
          </w:p>
          <w:p>
            <w:pPr>
              <w:spacing w:line="460" w:lineRule="exact"/>
              <w:ind w:firstLine="480" w:firstLineChars="200"/>
              <w:rPr>
                <w:sz w:val="24"/>
              </w:rPr>
            </w:pPr>
            <w:r>
              <w:rPr>
                <w:sz w:val="24"/>
              </w:rPr>
              <w:t>（2）</w:t>
            </w:r>
            <w:r>
              <w:rPr>
                <w:bCs/>
                <w:sz w:val="24"/>
              </w:rPr>
              <w:t>加强运营期管理，提高工作人员的管理水平</w:t>
            </w:r>
            <w:r>
              <w:rPr>
                <w:sz w:val="24"/>
              </w:rPr>
              <w:t>。</w:t>
            </w:r>
          </w:p>
          <w:p>
            <w:pPr>
              <w:pStyle w:val="43"/>
              <w:ind w:firstLine="480"/>
              <w:rPr>
                <w:sz w:val="24"/>
                <w:szCs w:val="24"/>
              </w:rPr>
            </w:pPr>
            <w:r>
              <w:rPr>
                <w:sz w:val="24"/>
                <w:szCs w:val="24"/>
              </w:rPr>
              <w:t>（3）加强日常巡线。</w:t>
            </w:r>
          </w:p>
          <w:p>
            <w:pPr>
              <w:pStyle w:val="43"/>
              <w:ind w:left="0" w:leftChars="0" w:firstLine="0" w:firstLineChars="0"/>
              <w:rPr>
                <w:color w:val="FF0000"/>
                <w:sz w:val="24"/>
                <w:szCs w:val="24"/>
              </w:rPr>
            </w:pPr>
          </w:p>
          <w:p>
            <w:pPr>
              <w:pStyle w:val="43"/>
              <w:ind w:firstLine="0" w:firstLineChars="0"/>
              <w:rPr>
                <w:color w:val="FF0000"/>
                <w:sz w:val="24"/>
                <w:szCs w:val="24"/>
              </w:rPr>
            </w:pPr>
          </w:p>
        </w:tc>
      </w:tr>
    </w:tbl>
    <w:p/>
    <w:sectPr>
      <w:pgSz w:w="11906" w:h="16838"/>
      <w:pgMar w:top="1701" w:right="1304" w:bottom="1134" w:left="1418" w:header="1134"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Sim Sun+ 2">
    <w:altName w:val="宋体"/>
    <w:panose1 w:val="00000000000000000000"/>
    <w:charset w:val="86"/>
    <w:family w:val="swiss"/>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Yu Mincho Demibold">
    <w:altName w:val="Yu Gothic"/>
    <w:panose1 w:val="00000000000000000000"/>
    <w:charset w:val="80"/>
    <w:family w:val="roman"/>
    <w:pitch w:val="default"/>
    <w:sig w:usb0="00000000" w:usb1="00000000" w:usb2="00000012" w:usb3="00000000" w:csb0="0002009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right="360"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outside" w:y="1"/>
      <w:rPr>
        <w:rStyle w:val="114"/>
      </w:rPr>
    </w:pPr>
    <w:r>
      <w:fldChar w:fldCharType="begin"/>
    </w:r>
    <w:r>
      <w:rPr>
        <w:rStyle w:val="114"/>
      </w:rPr>
      <w:instrText xml:space="preserve">PAGE  </w:instrText>
    </w:r>
    <w:r>
      <w:fldChar w:fldCharType="separate"/>
    </w:r>
    <w:r>
      <w:rPr>
        <w:rStyle w:val="114"/>
      </w:rPr>
      <w:t>36</w:t>
    </w:r>
    <w:r>
      <w:fldChar w:fldCharType="end"/>
    </w:r>
  </w:p>
  <w:p>
    <w:pPr>
      <w:pStyle w:val="2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华文行楷" w:eastAsia="华文行楷"/>
        <w:szCs w:val="21"/>
      </w:rPr>
    </w:pPr>
    <w:r>
      <w:fldChar w:fldCharType="begin"/>
    </w:r>
    <w:r>
      <w:instrText xml:space="preserve">PAGE   \* MERGEFORMAT</w:instrText>
    </w:r>
    <w:r>
      <w:fldChar w:fldCharType="separate"/>
    </w:r>
    <w:r>
      <w:rPr>
        <w:lang w:val="zh-CN"/>
      </w:rPr>
      <w:t>25</w:t>
    </w:r>
    <w:r>
      <w:rPr>
        <w:lang w:val="zh-CN"/>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A50"/>
    <w:rsid w:val="000001C0"/>
    <w:rsid w:val="00000588"/>
    <w:rsid w:val="00000645"/>
    <w:rsid w:val="00000A5D"/>
    <w:rsid w:val="00000C78"/>
    <w:rsid w:val="00000E11"/>
    <w:rsid w:val="00000F96"/>
    <w:rsid w:val="00000FDE"/>
    <w:rsid w:val="00001407"/>
    <w:rsid w:val="00001B88"/>
    <w:rsid w:val="000021D4"/>
    <w:rsid w:val="00002325"/>
    <w:rsid w:val="00002393"/>
    <w:rsid w:val="00002D29"/>
    <w:rsid w:val="00002D39"/>
    <w:rsid w:val="0000343B"/>
    <w:rsid w:val="000037B7"/>
    <w:rsid w:val="00003C84"/>
    <w:rsid w:val="00004067"/>
    <w:rsid w:val="000042BB"/>
    <w:rsid w:val="000045C0"/>
    <w:rsid w:val="00004624"/>
    <w:rsid w:val="00004729"/>
    <w:rsid w:val="0000479E"/>
    <w:rsid w:val="00004B48"/>
    <w:rsid w:val="00004F9F"/>
    <w:rsid w:val="000051D3"/>
    <w:rsid w:val="00005F2B"/>
    <w:rsid w:val="000060E6"/>
    <w:rsid w:val="00006841"/>
    <w:rsid w:val="00006A1F"/>
    <w:rsid w:val="00006D3C"/>
    <w:rsid w:val="00006E26"/>
    <w:rsid w:val="00007099"/>
    <w:rsid w:val="0000712F"/>
    <w:rsid w:val="00007169"/>
    <w:rsid w:val="0000777C"/>
    <w:rsid w:val="000078F6"/>
    <w:rsid w:val="00010123"/>
    <w:rsid w:val="00010876"/>
    <w:rsid w:val="00010B46"/>
    <w:rsid w:val="000111EE"/>
    <w:rsid w:val="00011392"/>
    <w:rsid w:val="0001176B"/>
    <w:rsid w:val="00011A59"/>
    <w:rsid w:val="00011B6A"/>
    <w:rsid w:val="00011C03"/>
    <w:rsid w:val="00011E4F"/>
    <w:rsid w:val="0001229A"/>
    <w:rsid w:val="000127D1"/>
    <w:rsid w:val="000127D8"/>
    <w:rsid w:val="00013140"/>
    <w:rsid w:val="0001426B"/>
    <w:rsid w:val="000157CD"/>
    <w:rsid w:val="000158AA"/>
    <w:rsid w:val="00015B16"/>
    <w:rsid w:val="00015BE1"/>
    <w:rsid w:val="000161EB"/>
    <w:rsid w:val="000164FF"/>
    <w:rsid w:val="00016899"/>
    <w:rsid w:val="00016B60"/>
    <w:rsid w:val="00016C2F"/>
    <w:rsid w:val="00016FE1"/>
    <w:rsid w:val="000203E8"/>
    <w:rsid w:val="00020D9D"/>
    <w:rsid w:val="000216E9"/>
    <w:rsid w:val="0002297E"/>
    <w:rsid w:val="00022A19"/>
    <w:rsid w:val="00022A3D"/>
    <w:rsid w:val="00022B85"/>
    <w:rsid w:val="00022D7A"/>
    <w:rsid w:val="0002351C"/>
    <w:rsid w:val="000235E9"/>
    <w:rsid w:val="0002397F"/>
    <w:rsid w:val="0002472C"/>
    <w:rsid w:val="00024A35"/>
    <w:rsid w:val="00025348"/>
    <w:rsid w:val="00025F44"/>
    <w:rsid w:val="0002601F"/>
    <w:rsid w:val="0002666B"/>
    <w:rsid w:val="000270ED"/>
    <w:rsid w:val="00027663"/>
    <w:rsid w:val="00027CD0"/>
    <w:rsid w:val="00027D9B"/>
    <w:rsid w:val="00027E7E"/>
    <w:rsid w:val="00030019"/>
    <w:rsid w:val="00030846"/>
    <w:rsid w:val="00030C2C"/>
    <w:rsid w:val="00030F34"/>
    <w:rsid w:val="00031487"/>
    <w:rsid w:val="00031FB3"/>
    <w:rsid w:val="00032059"/>
    <w:rsid w:val="00032658"/>
    <w:rsid w:val="00032CB1"/>
    <w:rsid w:val="00032EBF"/>
    <w:rsid w:val="00033520"/>
    <w:rsid w:val="00033766"/>
    <w:rsid w:val="000338B2"/>
    <w:rsid w:val="00033EBC"/>
    <w:rsid w:val="00033FE5"/>
    <w:rsid w:val="000346AD"/>
    <w:rsid w:val="00034C9C"/>
    <w:rsid w:val="0003539B"/>
    <w:rsid w:val="00035CBA"/>
    <w:rsid w:val="00036093"/>
    <w:rsid w:val="000368B6"/>
    <w:rsid w:val="00036A16"/>
    <w:rsid w:val="00036D2C"/>
    <w:rsid w:val="00036F7F"/>
    <w:rsid w:val="0003718B"/>
    <w:rsid w:val="0003740B"/>
    <w:rsid w:val="000408BD"/>
    <w:rsid w:val="000408C9"/>
    <w:rsid w:val="00041125"/>
    <w:rsid w:val="000412F4"/>
    <w:rsid w:val="00041BC1"/>
    <w:rsid w:val="0004287C"/>
    <w:rsid w:val="00042DE1"/>
    <w:rsid w:val="0004323E"/>
    <w:rsid w:val="000433BB"/>
    <w:rsid w:val="00043404"/>
    <w:rsid w:val="00043D10"/>
    <w:rsid w:val="00043DAD"/>
    <w:rsid w:val="000445E3"/>
    <w:rsid w:val="000449D6"/>
    <w:rsid w:val="00044A89"/>
    <w:rsid w:val="0004559D"/>
    <w:rsid w:val="00045813"/>
    <w:rsid w:val="00046091"/>
    <w:rsid w:val="00046254"/>
    <w:rsid w:val="0004641F"/>
    <w:rsid w:val="00047B15"/>
    <w:rsid w:val="00047D6B"/>
    <w:rsid w:val="00047DAD"/>
    <w:rsid w:val="000502F3"/>
    <w:rsid w:val="00050670"/>
    <w:rsid w:val="00050B5B"/>
    <w:rsid w:val="00050DD3"/>
    <w:rsid w:val="00051B8F"/>
    <w:rsid w:val="00052286"/>
    <w:rsid w:val="000529F5"/>
    <w:rsid w:val="00052A14"/>
    <w:rsid w:val="00052E97"/>
    <w:rsid w:val="00052FC3"/>
    <w:rsid w:val="0005370F"/>
    <w:rsid w:val="000540EE"/>
    <w:rsid w:val="00054729"/>
    <w:rsid w:val="0005482C"/>
    <w:rsid w:val="0005530B"/>
    <w:rsid w:val="00056183"/>
    <w:rsid w:val="000568B3"/>
    <w:rsid w:val="00056DA3"/>
    <w:rsid w:val="00057475"/>
    <w:rsid w:val="0005752F"/>
    <w:rsid w:val="000576F1"/>
    <w:rsid w:val="00060EB0"/>
    <w:rsid w:val="00061109"/>
    <w:rsid w:val="0006126F"/>
    <w:rsid w:val="00061649"/>
    <w:rsid w:val="00061A6C"/>
    <w:rsid w:val="00061E5D"/>
    <w:rsid w:val="000626E0"/>
    <w:rsid w:val="0006271A"/>
    <w:rsid w:val="00062939"/>
    <w:rsid w:val="00063025"/>
    <w:rsid w:val="000630DE"/>
    <w:rsid w:val="00063437"/>
    <w:rsid w:val="000637E2"/>
    <w:rsid w:val="0006441C"/>
    <w:rsid w:val="00064803"/>
    <w:rsid w:val="00064A5B"/>
    <w:rsid w:val="00064D89"/>
    <w:rsid w:val="00065660"/>
    <w:rsid w:val="000659E6"/>
    <w:rsid w:val="00065FEA"/>
    <w:rsid w:val="00066601"/>
    <w:rsid w:val="000666E2"/>
    <w:rsid w:val="0006688E"/>
    <w:rsid w:val="00066B30"/>
    <w:rsid w:val="00067E68"/>
    <w:rsid w:val="00070156"/>
    <w:rsid w:val="00070597"/>
    <w:rsid w:val="00071338"/>
    <w:rsid w:val="00071A57"/>
    <w:rsid w:val="00072183"/>
    <w:rsid w:val="00072586"/>
    <w:rsid w:val="00072ACA"/>
    <w:rsid w:val="00072CC5"/>
    <w:rsid w:val="00073803"/>
    <w:rsid w:val="00073E99"/>
    <w:rsid w:val="00074710"/>
    <w:rsid w:val="00075158"/>
    <w:rsid w:val="000759B6"/>
    <w:rsid w:val="00075DA6"/>
    <w:rsid w:val="00075E23"/>
    <w:rsid w:val="00076294"/>
    <w:rsid w:val="00076461"/>
    <w:rsid w:val="00076B38"/>
    <w:rsid w:val="000773DE"/>
    <w:rsid w:val="000775C1"/>
    <w:rsid w:val="00077785"/>
    <w:rsid w:val="00077AE1"/>
    <w:rsid w:val="00077D7B"/>
    <w:rsid w:val="00080BD0"/>
    <w:rsid w:val="00080C00"/>
    <w:rsid w:val="00080CD6"/>
    <w:rsid w:val="000816E2"/>
    <w:rsid w:val="00081A0B"/>
    <w:rsid w:val="00081F2F"/>
    <w:rsid w:val="00082073"/>
    <w:rsid w:val="0008231F"/>
    <w:rsid w:val="00082839"/>
    <w:rsid w:val="00083350"/>
    <w:rsid w:val="000834A0"/>
    <w:rsid w:val="000834B9"/>
    <w:rsid w:val="0008358F"/>
    <w:rsid w:val="00083713"/>
    <w:rsid w:val="00083F9C"/>
    <w:rsid w:val="00084D4D"/>
    <w:rsid w:val="00084F43"/>
    <w:rsid w:val="0008564A"/>
    <w:rsid w:val="00085CCD"/>
    <w:rsid w:val="00085DC5"/>
    <w:rsid w:val="00085DCF"/>
    <w:rsid w:val="00086252"/>
    <w:rsid w:val="00086829"/>
    <w:rsid w:val="0008683B"/>
    <w:rsid w:val="00086939"/>
    <w:rsid w:val="000869C2"/>
    <w:rsid w:val="00086DAC"/>
    <w:rsid w:val="00086E43"/>
    <w:rsid w:val="00086F06"/>
    <w:rsid w:val="00087660"/>
    <w:rsid w:val="000879A6"/>
    <w:rsid w:val="00087C2F"/>
    <w:rsid w:val="00087EB4"/>
    <w:rsid w:val="000900FA"/>
    <w:rsid w:val="00090263"/>
    <w:rsid w:val="000904EC"/>
    <w:rsid w:val="000907C7"/>
    <w:rsid w:val="00090AEE"/>
    <w:rsid w:val="00090C5D"/>
    <w:rsid w:val="0009103F"/>
    <w:rsid w:val="00091267"/>
    <w:rsid w:val="00091402"/>
    <w:rsid w:val="000914A1"/>
    <w:rsid w:val="00091B8A"/>
    <w:rsid w:val="00091CCE"/>
    <w:rsid w:val="00092248"/>
    <w:rsid w:val="00092F2E"/>
    <w:rsid w:val="000930DD"/>
    <w:rsid w:val="0009321F"/>
    <w:rsid w:val="0009340B"/>
    <w:rsid w:val="000938C6"/>
    <w:rsid w:val="00093A41"/>
    <w:rsid w:val="00094429"/>
    <w:rsid w:val="00094693"/>
    <w:rsid w:val="00094938"/>
    <w:rsid w:val="0009517A"/>
    <w:rsid w:val="000954AF"/>
    <w:rsid w:val="00095E18"/>
    <w:rsid w:val="00095F25"/>
    <w:rsid w:val="00096316"/>
    <w:rsid w:val="00097783"/>
    <w:rsid w:val="000977FF"/>
    <w:rsid w:val="000978E5"/>
    <w:rsid w:val="000A0732"/>
    <w:rsid w:val="000A0AA7"/>
    <w:rsid w:val="000A0EC4"/>
    <w:rsid w:val="000A1614"/>
    <w:rsid w:val="000A1E53"/>
    <w:rsid w:val="000A2873"/>
    <w:rsid w:val="000A2B32"/>
    <w:rsid w:val="000A3119"/>
    <w:rsid w:val="000A34D8"/>
    <w:rsid w:val="000A38DF"/>
    <w:rsid w:val="000A3A86"/>
    <w:rsid w:val="000A4B8F"/>
    <w:rsid w:val="000A4BBA"/>
    <w:rsid w:val="000A5C4B"/>
    <w:rsid w:val="000A5E03"/>
    <w:rsid w:val="000A671E"/>
    <w:rsid w:val="000A6A6F"/>
    <w:rsid w:val="000A6EFB"/>
    <w:rsid w:val="000A7193"/>
    <w:rsid w:val="000A71B2"/>
    <w:rsid w:val="000A7450"/>
    <w:rsid w:val="000A7483"/>
    <w:rsid w:val="000A7935"/>
    <w:rsid w:val="000A7A80"/>
    <w:rsid w:val="000A7B41"/>
    <w:rsid w:val="000A7C81"/>
    <w:rsid w:val="000A7CDD"/>
    <w:rsid w:val="000B01C3"/>
    <w:rsid w:val="000B068B"/>
    <w:rsid w:val="000B0803"/>
    <w:rsid w:val="000B0DA7"/>
    <w:rsid w:val="000B0E9D"/>
    <w:rsid w:val="000B108A"/>
    <w:rsid w:val="000B161A"/>
    <w:rsid w:val="000B170F"/>
    <w:rsid w:val="000B1F33"/>
    <w:rsid w:val="000B214D"/>
    <w:rsid w:val="000B24CF"/>
    <w:rsid w:val="000B2B14"/>
    <w:rsid w:val="000B31F1"/>
    <w:rsid w:val="000B3BD0"/>
    <w:rsid w:val="000B4734"/>
    <w:rsid w:val="000B47E9"/>
    <w:rsid w:val="000B4AFE"/>
    <w:rsid w:val="000B5039"/>
    <w:rsid w:val="000B5236"/>
    <w:rsid w:val="000B55A1"/>
    <w:rsid w:val="000B56A6"/>
    <w:rsid w:val="000B5A62"/>
    <w:rsid w:val="000B5CAE"/>
    <w:rsid w:val="000B5E8D"/>
    <w:rsid w:val="000B6B02"/>
    <w:rsid w:val="000B6ED4"/>
    <w:rsid w:val="000C0170"/>
    <w:rsid w:val="000C07BA"/>
    <w:rsid w:val="000C1126"/>
    <w:rsid w:val="000C12FD"/>
    <w:rsid w:val="000C1A86"/>
    <w:rsid w:val="000C1B37"/>
    <w:rsid w:val="000C2539"/>
    <w:rsid w:val="000C2858"/>
    <w:rsid w:val="000C29C5"/>
    <w:rsid w:val="000C29CC"/>
    <w:rsid w:val="000C30EA"/>
    <w:rsid w:val="000C3B47"/>
    <w:rsid w:val="000C49DE"/>
    <w:rsid w:val="000C4CD5"/>
    <w:rsid w:val="000C5815"/>
    <w:rsid w:val="000C5D0F"/>
    <w:rsid w:val="000C5FB0"/>
    <w:rsid w:val="000C6C22"/>
    <w:rsid w:val="000C6D30"/>
    <w:rsid w:val="000C6E1A"/>
    <w:rsid w:val="000C7121"/>
    <w:rsid w:val="000C7624"/>
    <w:rsid w:val="000C7788"/>
    <w:rsid w:val="000D100B"/>
    <w:rsid w:val="000D116E"/>
    <w:rsid w:val="000D1862"/>
    <w:rsid w:val="000D20F1"/>
    <w:rsid w:val="000D2A52"/>
    <w:rsid w:val="000D35F9"/>
    <w:rsid w:val="000D3ABA"/>
    <w:rsid w:val="000D3ABB"/>
    <w:rsid w:val="000D44B2"/>
    <w:rsid w:val="000D4BB1"/>
    <w:rsid w:val="000D5748"/>
    <w:rsid w:val="000D5CC1"/>
    <w:rsid w:val="000D60DF"/>
    <w:rsid w:val="000D68BF"/>
    <w:rsid w:val="000D6ACA"/>
    <w:rsid w:val="000D6C9C"/>
    <w:rsid w:val="000D7366"/>
    <w:rsid w:val="000D7977"/>
    <w:rsid w:val="000D79D4"/>
    <w:rsid w:val="000D7C51"/>
    <w:rsid w:val="000E006A"/>
    <w:rsid w:val="000E08CF"/>
    <w:rsid w:val="000E09BD"/>
    <w:rsid w:val="000E0A1F"/>
    <w:rsid w:val="000E0F76"/>
    <w:rsid w:val="000E11F4"/>
    <w:rsid w:val="000E1244"/>
    <w:rsid w:val="000E167C"/>
    <w:rsid w:val="000E17D3"/>
    <w:rsid w:val="000E1CBE"/>
    <w:rsid w:val="000E1F32"/>
    <w:rsid w:val="000E20D1"/>
    <w:rsid w:val="000E2490"/>
    <w:rsid w:val="000E2EFC"/>
    <w:rsid w:val="000E3A4E"/>
    <w:rsid w:val="000E3C10"/>
    <w:rsid w:val="000E3C52"/>
    <w:rsid w:val="000E3C64"/>
    <w:rsid w:val="000E4B5B"/>
    <w:rsid w:val="000E4D38"/>
    <w:rsid w:val="000E4D6A"/>
    <w:rsid w:val="000E58A1"/>
    <w:rsid w:val="000E5D0E"/>
    <w:rsid w:val="000E5E96"/>
    <w:rsid w:val="000E60E9"/>
    <w:rsid w:val="000E7163"/>
    <w:rsid w:val="000E737E"/>
    <w:rsid w:val="000F01DB"/>
    <w:rsid w:val="000F0332"/>
    <w:rsid w:val="000F04CF"/>
    <w:rsid w:val="000F0867"/>
    <w:rsid w:val="000F1E2B"/>
    <w:rsid w:val="000F23D0"/>
    <w:rsid w:val="000F278A"/>
    <w:rsid w:val="000F2F33"/>
    <w:rsid w:val="000F2FC7"/>
    <w:rsid w:val="000F323C"/>
    <w:rsid w:val="000F3EB6"/>
    <w:rsid w:val="000F52E9"/>
    <w:rsid w:val="000F572F"/>
    <w:rsid w:val="000F5868"/>
    <w:rsid w:val="000F5DF8"/>
    <w:rsid w:val="000F694C"/>
    <w:rsid w:val="000F6D12"/>
    <w:rsid w:val="000F7026"/>
    <w:rsid w:val="000F79FD"/>
    <w:rsid w:val="000F7BBB"/>
    <w:rsid w:val="000F7D40"/>
    <w:rsid w:val="001001AD"/>
    <w:rsid w:val="001003CF"/>
    <w:rsid w:val="00100AE0"/>
    <w:rsid w:val="0010163D"/>
    <w:rsid w:val="001023E5"/>
    <w:rsid w:val="00102505"/>
    <w:rsid w:val="00102635"/>
    <w:rsid w:val="00102799"/>
    <w:rsid w:val="00103C0D"/>
    <w:rsid w:val="00103D14"/>
    <w:rsid w:val="00104035"/>
    <w:rsid w:val="0010403F"/>
    <w:rsid w:val="00104289"/>
    <w:rsid w:val="001042E7"/>
    <w:rsid w:val="00105866"/>
    <w:rsid w:val="001060FB"/>
    <w:rsid w:val="00106D90"/>
    <w:rsid w:val="001071C5"/>
    <w:rsid w:val="001102F0"/>
    <w:rsid w:val="00110753"/>
    <w:rsid w:val="00110BEC"/>
    <w:rsid w:val="00110E18"/>
    <w:rsid w:val="001116C3"/>
    <w:rsid w:val="00111D7D"/>
    <w:rsid w:val="00112D5C"/>
    <w:rsid w:val="00113243"/>
    <w:rsid w:val="00113253"/>
    <w:rsid w:val="00113A97"/>
    <w:rsid w:val="00113CFF"/>
    <w:rsid w:val="00113D0F"/>
    <w:rsid w:val="00113D83"/>
    <w:rsid w:val="00114054"/>
    <w:rsid w:val="001148D9"/>
    <w:rsid w:val="00114BF4"/>
    <w:rsid w:val="00115CBF"/>
    <w:rsid w:val="00116BC0"/>
    <w:rsid w:val="00116F72"/>
    <w:rsid w:val="001172FA"/>
    <w:rsid w:val="0011751D"/>
    <w:rsid w:val="00117601"/>
    <w:rsid w:val="00117C11"/>
    <w:rsid w:val="00117E79"/>
    <w:rsid w:val="001202FE"/>
    <w:rsid w:val="001207DA"/>
    <w:rsid w:val="00120807"/>
    <w:rsid w:val="001219D6"/>
    <w:rsid w:val="00121A9F"/>
    <w:rsid w:val="00121FA2"/>
    <w:rsid w:val="0012258F"/>
    <w:rsid w:val="00122DD5"/>
    <w:rsid w:val="00122E2D"/>
    <w:rsid w:val="00123068"/>
    <w:rsid w:val="00123304"/>
    <w:rsid w:val="00123F87"/>
    <w:rsid w:val="001244DE"/>
    <w:rsid w:val="001248F1"/>
    <w:rsid w:val="001249F7"/>
    <w:rsid w:val="00124C17"/>
    <w:rsid w:val="00125017"/>
    <w:rsid w:val="0012522D"/>
    <w:rsid w:val="00125547"/>
    <w:rsid w:val="001258D0"/>
    <w:rsid w:val="001258E9"/>
    <w:rsid w:val="0012678F"/>
    <w:rsid w:val="00126C79"/>
    <w:rsid w:val="00126C9C"/>
    <w:rsid w:val="00126E59"/>
    <w:rsid w:val="00126FAF"/>
    <w:rsid w:val="00127648"/>
    <w:rsid w:val="001277B6"/>
    <w:rsid w:val="00127C9D"/>
    <w:rsid w:val="00127F84"/>
    <w:rsid w:val="00127FAE"/>
    <w:rsid w:val="0013032E"/>
    <w:rsid w:val="0013068A"/>
    <w:rsid w:val="00130738"/>
    <w:rsid w:val="00130AC8"/>
    <w:rsid w:val="0013160E"/>
    <w:rsid w:val="0013261F"/>
    <w:rsid w:val="00132C45"/>
    <w:rsid w:val="00132F7F"/>
    <w:rsid w:val="00133C23"/>
    <w:rsid w:val="001341E9"/>
    <w:rsid w:val="001348AA"/>
    <w:rsid w:val="00134E32"/>
    <w:rsid w:val="00135512"/>
    <w:rsid w:val="00135735"/>
    <w:rsid w:val="00135FC9"/>
    <w:rsid w:val="001369E6"/>
    <w:rsid w:val="00136A91"/>
    <w:rsid w:val="00136D07"/>
    <w:rsid w:val="0014008D"/>
    <w:rsid w:val="00140CE8"/>
    <w:rsid w:val="00140D6D"/>
    <w:rsid w:val="00140E01"/>
    <w:rsid w:val="0014147B"/>
    <w:rsid w:val="00141A17"/>
    <w:rsid w:val="00141F14"/>
    <w:rsid w:val="001420AA"/>
    <w:rsid w:val="001421BF"/>
    <w:rsid w:val="00142575"/>
    <w:rsid w:val="001428F9"/>
    <w:rsid w:val="00142D56"/>
    <w:rsid w:val="00142DD1"/>
    <w:rsid w:val="00142E98"/>
    <w:rsid w:val="00142F66"/>
    <w:rsid w:val="0014300B"/>
    <w:rsid w:val="0014421F"/>
    <w:rsid w:val="00144259"/>
    <w:rsid w:val="0014457B"/>
    <w:rsid w:val="00144A9A"/>
    <w:rsid w:val="00144C27"/>
    <w:rsid w:val="00144E9B"/>
    <w:rsid w:val="0014552E"/>
    <w:rsid w:val="00145815"/>
    <w:rsid w:val="0014624D"/>
    <w:rsid w:val="0014655F"/>
    <w:rsid w:val="00146B85"/>
    <w:rsid w:val="00146E07"/>
    <w:rsid w:val="00147585"/>
    <w:rsid w:val="00147A55"/>
    <w:rsid w:val="00147EC6"/>
    <w:rsid w:val="001500D5"/>
    <w:rsid w:val="00150200"/>
    <w:rsid w:val="0015032A"/>
    <w:rsid w:val="0015090A"/>
    <w:rsid w:val="00150A19"/>
    <w:rsid w:val="00151373"/>
    <w:rsid w:val="0015171C"/>
    <w:rsid w:val="00151CB6"/>
    <w:rsid w:val="001522A2"/>
    <w:rsid w:val="00152754"/>
    <w:rsid w:val="00152C57"/>
    <w:rsid w:val="001540E8"/>
    <w:rsid w:val="00154556"/>
    <w:rsid w:val="0015456B"/>
    <w:rsid w:val="001548AC"/>
    <w:rsid w:val="00154D9C"/>
    <w:rsid w:val="00154EE3"/>
    <w:rsid w:val="00154EE4"/>
    <w:rsid w:val="00154F7D"/>
    <w:rsid w:val="00155202"/>
    <w:rsid w:val="0015562D"/>
    <w:rsid w:val="0015593C"/>
    <w:rsid w:val="00155E54"/>
    <w:rsid w:val="0015618D"/>
    <w:rsid w:val="0015619C"/>
    <w:rsid w:val="001569E0"/>
    <w:rsid w:val="001571BF"/>
    <w:rsid w:val="001571DB"/>
    <w:rsid w:val="001603B4"/>
    <w:rsid w:val="00160732"/>
    <w:rsid w:val="00161292"/>
    <w:rsid w:val="001618CA"/>
    <w:rsid w:val="001619EF"/>
    <w:rsid w:val="0016204B"/>
    <w:rsid w:val="00162584"/>
    <w:rsid w:val="0016293D"/>
    <w:rsid w:val="00162F22"/>
    <w:rsid w:val="00163567"/>
    <w:rsid w:val="00163B4F"/>
    <w:rsid w:val="00164101"/>
    <w:rsid w:val="00164724"/>
    <w:rsid w:val="001649F2"/>
    <w:rsid w:val="0016585B"/>
    <w:rsid w:val="00165899"/>
    <w:rsid w:val="00165E93"/>
    <w:rsid w:val="00166326"/>
    <w:rsid w:val="001663B0"/>
    <w:rsid w:val="001666CC"/>
    <w:rsid w:val="00166EF9"/>
    <w:rsid w:val="001676C0"/>
    <w:rsid w:val="00167A4E"/>
    <w:rsid w:val="00170215"/>
    <w:rsid w:val="00170904"/>
    <w:rsid w:val="00170C29"/>
    <w:rsid w:val="00170E2D"/>
    <w:rsid w:val="00170FA5"/>
    <w:rsid w:val="001710A8"/>
    <w:rsid w:val="001715EB"/>
    <w:rsid w:val="00171BEF"/>
    <w:rsid w:val="00172456"/>
    <w:rsid w:val="001724CC"/>
    <w:rsid w:val="00172C45"/>
    <w:rsid w:val="00172E0C"/>
    <w:rsid w:val="00173204"/>
    <w:rsid w:val="00173248"/>
    <w:rsid w:val="0017331A"/>
    <w:rsid w:val="00173802"/>
    <w:rsid w:val="00173BDD"/>
    <w:rsid w:val="00174211"/>
    <w:rsid w:val="0017439C"/>
    <w:rsid w:val="00174DB9"/>
    <w:rsid w:val="001750F3"/>
    <w:rsid w:val="00175ECB"/>
    <w:rsid w:val="00176453"/>
    <w:rsid w:val="00176545"/>
    <w:rsid w:val="00176D66"/>
    <w:rsid w:val="001778A7"/>
    <w:rsid w:val="00180A17"/>
    <w:rsid w:val="00180B09"/>
    <w:rsid w:val="00181609"/>
    <w:rsid w:val="00181879"/>
    <w:rsid w:val="00181B0E"/>
    <w:rsid w:val="001820BF"/>
    <w:rsid w:val="001821C3"/>
    <w:rsid w:val="0018246C"/>
    <w:rsid w:val="0018254E"/>
    <w:rsid w:val="00182A51"/>
    <w:rsid w:val="00182AE5"/>
    <w:rsid w:val="00182B8C"/>
    <w:rsid w:val="00182D4A"/>
    <w:rsid w:val="00182D84"/>
    <w:rsid w:val="00182F32"/>
    <w:rsid w:val="00183122"/>
    <w:rsid w:val="00183255"/>
    <w:rsid w:val="00183A72"/>
    <w:rsid w:val="00184091"/>
    <w:rsid w:val="0018471F"/>
    <w:rsid w:val="00184CDC"/>
    <w:rsid w:val="001850E5"/>
    <w:rsid w:val="001853A5"/>
    <w:rsid w:val="00185C4E"/>
    <w:rsid w:val="00185E7B"/>
    <w:rsid w:val="00186BBE"/>
    <w:rsid w:val="00187004"/>
    <w:rsid w:val="00187228"/>
    <w:rsid w:val="00187314"/>
    <w:rsid w:val="00187464"/>
    <w:rsid w:val="00187656"/>
    <w:rsid w:val="00187749"/>
    <w:rsid w:val="00191416"/>
    <w:rsid w:val="00191E15"/>
    <w:rsid w:val="00191FFE"/>
    <w:rsid w:val="00192421"/>
    <w:rsid w:val="00192FDF"/>
    <w:rsid w:val="0019300C"/>
    <w:rsid w:val="0019314C"/>
    <w:rsid w:val="00193C4B"/>
    <w:rsid w:val="00193DAB"/>
    <w:rsid w:val="0019425F"/>
    <w:rsid w:val="00194AF1"/>
    <w:rsid w:val="00194D66"/>
    <w:rsid w:val="001952D7"/>
    <w:rsid w:val="001960A8"/>
    <w:rsid w:val="00196885"/>
    <w:rsid w:val="00196940"/>
    <w:rsid w:val="00196DFD"/>
    <w:rsid w:val="00197448"/>
    <w:rsid w:val="00197830"/>
    <w:rsid w:val="00197DBC"/>
    <w:rsid w:val="001A07ED"/>
    <w:rsid w:val="001A097A"/>
    <w:rsid w:val="001A1044"/>
    <w:rsid w:val="001A16B8"/>
    <w:rsid w:val="001A1CE4"/>
    <w:rsid w:val="001A29D2"/>
    <w:rsid w:val="001A303B"/>
    <w:rsid w:val="001A3F12"/>
    <w:rsid w:val="001A3F86"/>
    <w:rsid w:val="001A4109"/>
    <w:rsid w:val="001A4110"/>
    <w:rsid w:val="001A438E"/>
    <w:rsid w:val="001A4B64"/>
    <w:rsid w:val="001A4DC5"/>
    <w:rsid w:val="001A4F44"/>
    <w:rsid w:val="001A59A2"/>
    <w:rsid w:val="001A5C46"/>
    <w:rsid w:val="001A681A"/>
    <w:rsid w:val="001A683A"/>
    <w:rsid w:val="001A6927"/>
    <w:rsid w:val="001A692C"/>
    <w:rsid w:val="001A6C06"/>
    <w:rsid w:val="001A7469"/>
    <w:rsid w:val="001B0634"/>
    <w:rsid w:val="001B07DF"/>
    <w:rsid w:val="001B0A1C"/>
    <w:rsid w:val="001B1430"/>
    <w:rsid w:val="001B14C6"/>
    <w:rsid w:val="001B1904"/>
    <w:rsid w:val="001B219D"/>
    <w:rsid w:val="001B22BB"/>
    <w:rsid w:val="001B26DB"/>
    <w:rsid w:val="001B2965"/>
    <w:rsid w:val="001B2EBB"/>
    <w:rsid w:val="001B342E"/>
    <w:rsid w:val="001B3C46"/>
    <w:rsid w:val="001B3D7C"/>
    <w:rsid w:val="001B3E2F"/>
    <w:rsid w:val="001B466C"/>
    <w:rsid w:val="001B4CC1"/>
    <w:rsid w:val="001B507D"/>
    <w:rsid w:val="001B52E3"/>
    <w:rsid w:val="001B558E"/>
    <w:rsid w:val="001B5833"/>
    <w:rsid w:val="001B626E"/>
    <w:rsid w:val="001B66FD"/>
    <w:rsid w:val="001B7314"/>
    <w:rsid w:val="001B7658"/>
    <w:rsid w:val="001B7738"/>
    <w:rsid w:val="001B7A0A"/>
    <w:rsid w:val="001B7CD4"/>
    <w:rsid w:val="001C03A9"/>
    <w:rsid w:val="001C07E1"/>
    <w:rsid w:val="001C0978"/>
    <w:rsid w:val="001C12EC"/>
    <w:rsid w:val="001C18B1"/>
    <w:rsid w:val="001C1DB6"/>
    <w:rsid w:val="001C1DD1"/>
    <w:rsid w:val="001C21D5"/>
    <w:rsid w:val="001C22A6"/>
    <w:rsid w:val="001C233C"/>
    <w:rsid w:val="001C30AB"/>
    <w:rsid w:val="001C3376"/>
    <w:rsid w:val="001C38A7"/>
    <w:rsid w:val="001C3CF7"/>
    <w:rsid w:val="001C467F"/>
    <w:rsid w:val="001C4777"/>
    <w:rsid w:val="001C4F17"/>
    <w:rsid w:val="001C5156"/>
    <w:rsid w:val="001C5BD0"/>
    <w:rsid w:val="001C6524"/>
    <w:rsid w:val="001C6525"/>
    <w:rsid w:val="001C6918"/>
    <w:rsid w:val="001C6B5F"/>
    <w:rsid w:val="001C741E"/>
    <w:rsid w:val="001C78DE"/>
    <w:rsid w:val="001D0308"/>
    <w:rsid w:val="001D0D0C"/>
    <w:rsid w:val="001D0F8A"/>
    <w:rsid w:val="001D1930"/>
    <w:rsid w:val="001D1BF6"/>
    <w:rsid w:val="001D1C29"/>
    <w:rsid w:val="001D1F9F"/>
    <w:rsid w:val="001D2384"/>
    <w:rsid w:val="001D2D70"/>
    <w:rsid w:val="001D389E"/>
    <w:rsid w:val="001D3D62"/>
    <w:rsid w:val="001D3F30"/>
    <w:rsid w:val="001D4B8E"/>
    <w:rsid w:val="001D50E4"/>
    <w:rsid w:val="001D5349"/>
    <w:rsid w:val="001D540A"/>
    <w:rsid w:val="001D5818"/>
    <w:rsid w:val="001D5854"/>
    <w:rsid w:val="001D5A3F"/>
    <w:rsid w:val="001D5ACF"/>
    <w:rsid w:val="001D6001"/>
    <w:rsid w:val="001D61ED"/>
    <w:rsid w:val="001D64A6"/>
    <w:rsid w:val="001D6F85"/>
    <w:rsid w:val="001D7BA9"/>
    <w:rsid w:val="001E0028"/>
    <w:rsid w:val="001E0C4A"/>
    <w:rsid w:val="001E18FB"/>
    <w:rsid w:val="001E1F29"/>
    <w:rsid w:val="001E22EA"/>
    <w:rsid w:val="001E24F4"/>
    <w:rsid w:val="001E284E"/>
    <w:rsid w:val="001E35FF"/>
    <w:rsid w:val="001E4CC8"/>
    <w:rsid w:val="001E4D7C"/>
    <w:rsid w:val="001E4F4B"/>
    <w:rsid w:val="001E53C8"/>
    <w:rsid w:val="001E55A8"/>
    <w:rsid w:val="001E57CE"/>
    <w:rsid w:val="001E5867"/>
    <w:rsid w:val="001E5A25"/>
    <w:rsid w:val="001E5F00"/>
    <w:rsid w:val="001E68B6"/>
    <w:rsid w:val="001E6B52"/>
    <w:rsid w:val="001E70BE"/>
    <w:rsid w:val="001E73C1"/>
    <w:rsid w:val="001E77D4"/>
    <w:rsid w:val="001E77D9"/>
    <w:rsid w:val="001E7C9C"/>
    <w:rsid w:val="001E7ECE"/>
    <w:rsid w:val="001F0B63"/>
    <w:rsid w:val="001F1200"/>
    <w:rsid w:val="001F1681"/>
    <w:rsid w:val="001F1845"/>
    <w:rsid w:val="001F191D"/>
    <w:rsid w:val="001F1AA4"/>
    <w:rsid w:val="001F20E0"/>
    <w:rsid w:val="001F29A4"/>
    <w:rsid w:val="001F2CA2"/>
    <w:rsid w:val="001F30CF"/>
    <w:rsid w:val="001F3101"/>
    <w:rsid w:val="001F3C7A"/>
    <w:rsid w:val="001F5A97"/>
    <w:rsid w:val="001F5F22"/>
    <w:rsid w:val="001F6001"/>
    <w:rsid w:val="001F6028"/>
    <w:rsid w:val="001F7058"/>
    <w:rsid w:val="001F7973"/>
    <w:rsid w:val="001F79A2"/>
    <w:rsid w:val="001F7C07"/>
    <w:rsid w:val="001F7C39"/>
    <w:rsid w:val="001F7C51"/>
    <w:rsid w:val="001F7F5D"/>
    <w:rsid w:val="00200C22"/>
    <w:rsid w:val="00200E69"/>
    <w:rsid w:val="002017D9"/>
    <w:rsid w:val="00201FF5"/>
    <w:rsid w:val="002021E7"/>
    <w:rsid w:val="00202671"/>
    <w:rsid w:val="00203B1E"/>
    <w:rsid w:val="00203E94"/>
    <w:rsid w:val="0020432E"/>
    <w:rsid w:val="002045A9"/>
    <w:rsid w:val="00204893"/>
    <w:rsid w:val="0020494D"/>
    <w:rsid w:val="00204C60"/>
    <w:rsid w:val="002050A7"/>
    <w:rsid w:val="00205809"/>
    <w:rsid w:val="00205F61"/>
    <w:rsid w:val="00206897"/>
    <w:rsid w:val="00207309"/>
    <w:rsid w:val="002076F8"/>
    <w:rsid w:val="002079D7"/>
    <w:rsid w:val="002100A1"/>
    <w:rsid w:val="00210174"/>
    <w:rsid w:val="002106D7"/>
    <w:rsid w:val="00210AE1"/>
    <w:rsid w:val="00210B14"/>
    <w:rsid w:val="002110E4"/>
    <w:rsid w:val="00211504"/>
    <w:rsid w:val="00211EAC"/>
    <w:rsid w:val="002127FB"/>
    <w:rsid w:val="00212BC6"/>
    <w:rsid w:val="00213AF3"/>
    <w:rsid w:val="00214AD3"/>
    <w:rsid w:val="00214BF1"/>
    <w:rsid w:val="002158CE"/>
    <w:rsid w:val="00215C3C"/>
    <w:rsid w:val="00215D96"/>
    <w:rsid w:val="002164E4"/>
    <w:rsid w:val="00216521"/>
    <w:rsid w:val="0021654D"/>
    <w:rsid w:val="0021684F"/>
    <w:rsid w:val="00216F38"/>
    <w:rsid w:val="0021729E"/>
    <w:rsid w:val="002175D7"/>
    <w:rsid w:val="002178E4"/>
    <w:rsid w:val="00217E8F"/>
    <w:rsid w:val="00217EAC"/>
    <w:rsid w:val="00220498"/>
    <w:rsid w:val="002204E6"/>
    <w:rsid w:val="00220DEA"/>
    <w:rsid w:val="00221284"/>
    <w:rsid w:val="00222328"/>
    <w:rsid w:val="00223255"/>
    <w:rsid w:val="002239F9"/>
    <w:rsid w:val="00224B6B"/>
    <w:rsid w:val="00225B52"/>
    <w:rsid w:val="00226663"/>
    <w:rsid w:val="00226A82"/>
    <w:rsid w:val="00227307"/>
    <w:rsid w:val="00227FEE"/>
    <w:rsid w:val="0023019D"/>
    <w:rsid w:val="0023023E"/>
    <w:rsid w:val="00230738"/>
    <w:rsid w:val="002308EC"/>
    <w:rsid w:val="00230A99"/>
    <w:rsid w:val="00230E7F"/>
    <w:rsid w:val="00231099"/>
    <w:rsid w:val="00231249"/>
    <w:rsid w:val="0023162E"/>
    <w:rsid w:val="00231C73"/>
    <w:rsid w:val="00231DD2"/>
    <w:rsid w:val="00231E50"/>
    <w:rsid w:val="00231F96"/>
    <w:rsid w:val="00231F97"/>
    <w:rsid w:val="0023231E"/>
    <w:rsid w:val="0023241E"/>
    <w:rsid w:val="002325A2"/>
    <w:rsid w:val="00232D0D"/>
    <w:rsid w:val="00232DC3"/>
    <w:rsid w:val="00232ED3"/>
    <w:rsid w:val="002334BC"/>
    <w:rsid w:val="00234A6C"/>
    <w:rsid w:val="002352C6"/>
    <w:rsid w:val="002353A4"/>
    <w:rsid w:val="00235A9C"/>
    <w:rsid w:val="00235B24"/>
    <w:rsid w:val="00235C5A"/>
    <w:rsid w:val="00236F4F"/>
    <w:rsid w:val="00236F92"/>
    <w:rsid w:val="002375D4"/>
    <w:rsid w:val="002377B2"/>
    <w:rsid w:val="00237E2D"/>
    <w:rsid w:val="00237ECE"/>
    <w:rsid w:val="00240A60"/>
    <w:rsid w:val="00240AF3"/>
    <w:rsid w:val="00240C3C"/>
    <w:rsid w:val="00240ECE"/>
    <w:rsid w:val="00241922"/>
    <w:rsid w:val="002423BA"/>
    <w:rsid w:val="0024251D"/>
    <w:rsid w:val="002428AD"/>
    <w:rsid w:val="00242DBB"/>
    <w:rsid w:val="00242FA4"/>
    <w:rsid w:val="002432A6"/>
    <w:rsid w:val="002435CB"/>
    <w:rsid w:val="002437EB"/>
    <w:rsid w:val="00243A19"/>
    <w:rsid w:val="00243D76"/>
    <w:rsid w:val="002442D2"/>
    <w:rsid w:val="002443C6"/>
    <w:rsid w:val="00244BBC"/>
    <w:rsid w:val="00245034"/>
    <w:rsid w:val="00245626"/>
    <w:rsid w:val="0024572F"/>
    <w:rsid w:val="0024577B"/>
    <w:rsid w:val="00246A26"/>
    <w:rsid w:val="002470E6"/>
    <w:rsid w:val="002471C1"/>
    <w:rsid w:val="002472E9"/>
    <w:rsid w:val="002474D3"/>
    <w:rsid w:val="002501BC"/>
    <w:rsid w:val="00250474"/>
    <w:rsid w:val="00250C86"/>
    <w:rsid w:val="00250CA3"/>
    <w:rsid w:val="00250EDE"/>
    <w:rsid w:val="00250F04"/>
    <w:rsid w:val="00251051"/>
    <w:rsid w:val="00251237"/>
    <w:rsid w:val="00251C41"/>
    <w:rsid w:val="00251FBE"/>
    <w:rsid w:val="00252184"/>
    <w:rsid w:val="002528C4"/>
    <w:rsid w:val="002529F5"/>
    <w:rsid w:val="00253C7E"/>
    <w:rsid w:val="00253CF3"/>
    <w:rsid w:val="00253DCC"/>
    <w:rsid w:val="00253DF9"/>
    <w:rsid w:val="00253E64"/>
    <w:rsid w:val="002545E7"/>
    <w:rsid w:val="00254A3B"/>
    <w:rsid w:val="00254B98"/>
    <w:rsid w:val="00255648"/>
    <w:rsid w:val="00255DFE"/>
    <w:rsid w:val="002560C2"/>
    <w:rsid w:val="0025690F"/>
    <w:rsid w:val="00257177"/>
    <w:rsid w:val="00257CAD"/>
    <w:rsid w:val="00261030"/>
    <w:rsid w:val="00262461"/>
    <w:rsid w:val="00262FAA"/>
    <w:rsid w:val="0026304E"/>
    <w:rsid w:val="00264163"/>
    <w:rsid w:val="002645EE"/>
    <w:rsid w:val="00264FC3"/>
    <w:rsid w:val="00265E44"/>
    <w:rsid w:val="002665E3"/>
    <w:rsid w:val="00266A58"/>
    <w:rsid w:val="00267B06"/>
    <w:rsid w:val="00267DF1"/>
    <w:rsid w:val="002708AF"/>
    <w:rsid w:val="00270931"/>
    <w:rsid w:val="00271644"/>
    <w:rsid w:val="0027180C"/>
    <w:rsid w:val="00271B9C"/>
    <w:rsid w:val="00271C1D"/>
    <w:rsid w:val="002722FE"/>
    <w:rsid w:val="00272E2B"/>
    <w:rsid w:val="002731D1"/>
    <w:rsid w:val="002733EA"/>
    <w:rsid w:val="00273B99"/>
    <w:rsid w:val="0027432F"/>
    <w:rsid w:val="00274B57"/>
    <w:rsid w:val="002753B9"/>
    <w:rsid w:val="002757AF"/>
    <w:rsid w:val="00275D58"/>
    <w:rsid w:val="00276C46"/>
    <w:rsid w:val="00276CD3"/>
    <w:rsid w:val="00277108"/>
    <w:rsid w:val="00277F8A"/>
    <w:rsid w:val="002805D9"/>
    <w:rsid w:val="00280D1A"/>
    <w:rsid w:val="00280FD7"/>
    <w:rsid w:val="00281B15"/>
    <w:rsid w:val="002827DA"/>
    <w:rsid w:val="00282C20"/>
    <w:rsid w:val="00282C8C"/>
    <w:rsid w:val="00282CC7"/>
    <w:rsid w:val="00283286"/>
    <w:rsid w:val="002835B8"/>
    <w:rsid w:val="00283D04"/>
    <w:rsid w:val="00283D17"/>
    <w:rsid w:val="00283EEC"/>
    <w:rsid w:val="00285838"/>
    <w:rsid w:val="00285BBB"/>
    <w:rsid w:val="0028645D"/>
    <w:rsid w:val="00286648"/>
    <w:rsid w:val="00286A51"/>
    <w:rsid w:val="00286D49"/>
    <w:rsid w:val="00286F61"/>
    <w:rsid w:val="00287E91"/>
    <w:rsid w:val="00290E37"/>
    <w:rsid w:val="0029188F"/>
    <w:rsid w:val="00291BB8"/>
    <w:rsid w:val="00291D79"/>
    <w:rsid w:val="002924FB"/>
    <w:rsid w:val="0029276A"/>
    <w:rsid w:val="00292F42"/>
    <w:rsid w:val="002933E9"/>
    <w:rsid w:val="00293456"/>
    <w:rsid w:val="00293799"/>
    <w:rsid w:val="00293F04"/>
    <w:rsid w:val="00294B1C"/>
    <w:rsid w:val="00294E1C"/>
    <w:rsid w:val="0029515D"/>
    <w:rsid w:val="00295AD5"/>
    <w:rsid w:val="00295C88"/>
    <w:rsid w:val="00295D2D"/>
    <w:rsid w:val="002965C8"/>
    <w:rsid w:val="00296815"/>
    <w:rsid w:val="00296A2C"/>
    <w:rsid w:val="00296D29"/>
    <w:rsid w:val="002972E6"/>
    <w:rsid w:val="00297385"/>
    <w:rsid w:val="002974FB"/>
    <w:rsid w:val="00297E87"/>
    <w:rsid w:val="002A0692"/>
    <w:rsid w:val="002A0915"/>
    <w:rsid w:val="002A0A9A"/>
    <w:rsid w:val="002A1034"/>
    <w:rsid w:val="002A1207"/>
    <w:rsid w:val="002A1BA7"/>
    <w:rsid w:val="002A1EC8"/>
    <w:rsid w:val="002A20CE"/>
    <w:rsid w:val="002A34BB"/>
    <w:rsid w:val="002A3A2E"/>
    <w:rsid w:val="002A3F02"/>
    <w:rsid w:val="002A412B"/>
    <w:rsid w:val="002A4779"/>
    <w:rsid w:val="002A490D"/>
    <w:rsid w:val="002A5018"/>
    <w:rsid w:val="002A53BE"/>
    <w:rsid w:val="002A5678"/>
    <w:rsid w:val="002A57E1"/>
    <w:rsid w:val="002A58B5"/>
    <w:rsid w:val="002A596F"/>
    <w:rsid w:val="002A62BD"/>
    <w:rsid w:val="002A636E"/>
    <w:rsid w:val="002A685F"/>
    <w:rsid w:val="002A723C"/>
    <w:rsid w:val="002A7C7F"/>
    <w:rsid w:val="002B0412"/>
    <w:rsid w:val="002B0490"/>
    <w:rsid w:val="002B0B2C"/>
    <w:rsid w:val="002B0D44"/>
    <w:rsid w:val="002B0D87"/>
    <w:rsid w:val="002B0DB1"/>
    <w:rsid w:val="002B0E7C"/>
    <w:rsid w:val="002B10BA"/>
    <w:rsid w:val="002B1449"/>
    <w:rsid w:val="002B1B7D"/>
    <w:rsid w:val="002B1C94"/>
    <w:rsid w:val="002B1EE6"/>
    <w:rsid w:val="002B2299"/>
    <w:rsid w:val="002B24A2"/>
    <w:rsid w:val="002B27AB"/>
    <w:rsid w:val="002B3B56"/>
    <w:rsid w:val="002B4D03"/>
    <w:rsid w:val="002B4ECB"/>
    <w:rsid w:val="002B54D8"/>
    <w:rsid w:val="002B5835"/>
    <w:rsid w:val="002B5C4C"/>
    <w:rsid w:val="002B662B"/>
    <w:rsid w:val="002B693F"/>
    <w:rsid w:val="002B6B62"/>
    <w:rsid w:val="002C04B2"/>
    <w:rsid w:val="002C0D09"/>
    <w:rsid w:val="002C0D22"/>
    <w:rsid w:val="002C1401"/>
    <w:rsid w:val="002C17BE"/>
    <w:rsid w:val="002C19F5"/>
    <w:rsid w:val="002C1B6F"/>
    <w:rsid w:val="002C1F6C"/>
    <w:rsid w:val="002C20DC"/>
    <w:rsid w:val="002C385B"/>
    <w:rsid w:val="002C3A53"/>
    <w:rsid w:val="002C3AAF"/>
    <w:rsid w:val="002C3EFC"/>
    <w:rsid w:val="002C3FFC"/>
    <w:rsid w:val="002C40F3"/>
    <w:rsid w:val="002C463C"/>
    <w:rsid w:val="002C493C"/>
    <w:rsid w:val="002C4C6D"/>
    <w:rsid w:val="002C59B5"/>
    <w:rsid w:val="002C5AD8"/>
    <w:rsid w:val="002C69DB"/>
    <w:rsid w:val="002C6BE4"/>
    <w:rsid w:val="002C6C10"/>
    <w:rsid w:val="002D007E"/>
    <w:rsid w:val="002D04BD"/>
    <w:rsid w:val="002D086E"/>
    <w:rsid w:val="002D13DD"/>
    <w:rsid w:val="002D1F81"/>
    <w:rsid w:val="002D22A2"/>
    <w:rsid w:val="002D2D33"/>
    <w:rsid w:val="002D3018"/>
    <w:rsid w:val="002D3189"/>
    <w:rsid w:val="002D32B7"/>
    <w:rsid w:val="002D33B6"/>
    <w:rsid w:val="002D4048"/>
    <w:rsid w:val="002D429B"/>
    <w:rsid w:val="002D4D94"/>
    <w:rsid w:val="002D4F48"/>
    <w:rsid w:val="002D599F"/>
    <w:rsid w:val="002D5E84"/>
    <w:rsid w:val="002D65F6"/>
    <w:rsid w:val="002D6DD7"/>
    <w:rsid w:val="002D6F5B"/>
    <w:rsid w:val="002D709B"/>
    <w:rsid w:val="002D7A75"/>
    <w:rsid w:val="002E0073"/>
    <w:rsid w:val="002E0138"/>
    <w:rsid w:val="002E03E1"/>
    <w:rsid w:val="002E0E83"/>
    <w:rsid w:val="002E160D"/>
    <w:rsid w:val="002E2111"/>
    <w:rsid w:val="002E2D3A"/>
    <w:rsid w:val="002E3578"/>
    <w:rsid w:val="002E35FC"/>
    <w:rsid w:val="002E3EBF"/>
    <w:rsid w:val="002E3FEC"/>
    <w:rsid w:val="002E4516"/>
    <w:rsid w:val="002E45CB"/>
    <w:rsid w:val="002E550B"/>
    <w:rsid w:val="002E5649"/>
    <w:rsid w:val="002E600B"/>
    <w:rsid w:val="002E624E"/>
    <w:rsid w:val="002E6C82"/>
    <w:rsid w:val="002E7325"/>
    <w:rsid w:val="002E7516"/>
    <w:rsid w:val="002F0049"/>
    <w:rsid w:val="002F0237"/>
    <w:rsid w:val="002F0376"/>
    <w:rsid w:val="002F064C"/>
    <w:rsid w:val="002F084F"/>
    <w:rsid w:val="002F1C14"/>
    <w:rsid w:val="002F222E"/>
    <w:rsid w:val="002F2AD3"/>
    <w:rsid w:val="002F4B8C"/>
    <w:rsid w:val="002F4E40"/>
    <w:rsid w:val="002F5261"/>
    <w:rsid w:val="002F585B"/>
    <w:rsid w:val="002F603C"/>
    <w:rsid w:val="002F60FE"/>
    <w:rsid w:val="002F622A"/>
    <w:rsid w:val="002F63FB"/>
    <w:rsid w:val="002F6C83"/>
    <w:rsid w:val="002F7131"/>
    <w:rsid w:val="002F7256"/>
    <w:rsid w:val="002F762B"/>
    <w:rsid w:val="002F7B2A"/>
    <w:rsid w:val="002F7DB6"/>
    <w:rsid w:val="002F7DE9"/>
    <w:rsid w:val="00300223"/>
    <w:rsid w:val="00300314"/>
    <w:rsid w:val="00300758"/>
    <w:rsid w:val="003008B0"/>
    <w:rsid w:val="00300B35"/>
    <w:rsid w:val="00300BDB"/>
    <w:rsid w:val="00300F02"/>
    <w:rsid w:val="003017C6"/>
    <w:rsid w:val="003023D9"/>
    <w:rsid w:val="003025C6"/>
    <w:rsid w:val="00302714"/>
    <w:rsid w:val="00302BDA"/>
    <w:rsid w:val="003032F6"/>
    <w:rsid w:val="0030436C"/>
    <w:rsid w:val="00304D3B"/>
    <w:rsid w:val="00305075"/>
    <w:rsid w:val="00305438"/>
    <w:rsid w:val="00305A13"/>
    <w:rsid w:val="00306269"/>
    <w:rsid w:val="003064BA"/>
    <w:rsid w:val="00306871"/>
    <w:rsid w:val="003069C4"/>
    <w:rsid w:val="00306DC2"/>
    <w:rsid w:val="00306EFD"/>
    <w:rsid w:val="0030762A"/>
    <w:rsid w:val="00307CB7"/>
    <w:rsid w:val="003101F0"/>
    <w:rsid w:val="00310394"/>
    <w:rsid w:val="0031088A"/>
    <w:rsid w:val="00311130"/>
    <w:rsid w:val="0031126A"/>
    <w:rsid w:val="003112AB"/>
    <w:rsid w:val="003114FB"/>
    <w:rsid w:val="00311928"/>
    <w:rsid w:val="00311E66"/>
    <w:rsid w:val="0031226C"/>
    <w:rsid w:val="00312423"/>
    <w:rsid w:val="003124EC"/>
    <w:rsid w:val="00312D6C"/>
    <w:rsid w:val="00312EB2"/>
    <w:rsid w:val="00313099"/>
    <w:rsid w:val="003137B8"/>
    <w:rsid w:val="00313D03"/>
    <w:rsid w:val="003143F6"/>
    <w:rsid w:val="003148B2"/>
    <w:rsid w:val="00314E9E"/>
    <w:rsid w:val="003152A3"/>
    <w:rsid w:val="003158C1"/>
    <w:rsid w:val="003159C4"/>
    <w:rsid w:val="00315CD8"/>
    <w:rsid w:val="00316329"/>
    <w:rsid w:val="00316853"/>
    <w:rsid w:val="00316A08"/>
    <w:rsid w:val="00316B65"/>
    <w:rsid w:val="00316B76"/>
    <w:rsid w:val="00316C9A"/>
    <w:rsid w:val="003172DD"/>
    <w:rsid w:val="00317A61"/>
    <w:rsid w:val="00317BA9"/>
    <w:rsid w:val="00317CA7"/>
    <w:rsid w:val="00317EB2"/>
    <w:rsid w:val="00317EE6"/>
    <w:rsid w:val="0032043C"/>
    <w:rsid w:val="003207BC"/>
    <w:rsid w:val="00320917"/>
    <w:rsid w:val="003209D5"/>
    <w:rsid w:val="0032120B"/>
    <w:rsid w:val="003213B5"/>
    <w:rsid w:val="00321E31"/>
    <w:rsid w:val="00322B70"/>
    <w:rsid w:val="003238EE"/>
    <w:rsid w:val="0032396B"/>
    <w:rsid w:val="00323DB7"/>
    <w:rsid w:val="00323E0F"/>
    <w:rsid w:val="00324536"/>
    <w:rsid w:val="00324E53"/>
    <w:rsid w:val="0032503D"/>
    <w:rsid w:val="0032521D"/>
    <w:rsid w:val="003253FC"/>
    <w:rsid w:val="00325407"/>
    <w:rsid w:val="00325A4B"/>
    <w:rsid w:val="0032627A"/>
    <w:rsid w:val="003268AC"/>
    <w:rsid w:val="0032698B"/>
    <w:rsid w:val="0032722B"/>
    <w:rsid w:val="003274B7"/>
    <w:rsid w:val="0032773E"/>
    <w:rsid w:val="0032789F"/>
    <w:rsid w:val="003278F5"/>
    <w:rsid w:val="00327A15"/>
    <w:rsid w:val="0033089F"/>
    <w:rsid w:val="0033171A"/>
    <w:rsid w:val="0033270B"/>
    <w:rsid w:val="003327BB"/>
    <w:rsid w:val="00332A3A"/>
    <w:rsid w:val="00332FAE"/>
    <w:rsid w:val="003333CA"/>
    <w:rsid w:val="003334EC"/>
    <w:rsid w:val="00333697"/>
    <w:rsid w:val="0033424C"/>
    <w:rsid w:val="00334386"/>
    <w:rsid w:val="003345E1"/>
    <w:rsid w:val="00334783"/>
    <w:rsid w:val="00334C41"/>
    <w:rsid w:val="00334D7A"/>
    <w:rsid w:val="003356D9"/>
    <w:rsid w:val="00335748"/>
    <w:rsid w:val="00335802"/>
    <w:rsid w:val="003359AC"/>
    <w:rsid w:val="003359EB"/>
    <w:rsid w:val="00336817"/>
    <w:rsid w:val="00336C76"/>
    <w:rsid w:val="00336E2E"/>
    <w:rsid w:val="003376A2"/>
    <w:rsid w:val="00340105"/>
    <w:rsid w:val="00340FF8"/>
    <w:rsid w:val="00341282"/>
    <w:rsid w:val="003413D2"/>
    <w:rsid w:val="00341639"/>
    <w:rsid w:val="00342185"/>
    <w:rsid w:val="00342BC9"/>
    <w:rsid w:val="00342CDB"/>
    <w:rsid w:val="003431B4"/>
    <w:rsid w:val="0034353D"/>
    <w:rsid w:val="0034445B"/>
    <w:rsid w:val="00344A11"/>
    <w:rsid w:val="00344F3A"/>
    <w:rsid w:val="003457E2"/>
    <w:rsid w:val="0034580D"/>
    <w:rsid w:val="00345E8A"/>
    <w:rsid w:val="0034630C"/>
    <w:rsid w:val="00346B61"/>
    <w:rsid w:val="00346CE6"/>
    <w:rsid w:val="00346D0D"/>
    <w:rsid w:val="00347025"/>
    <w:rsid w:val="00347381"/>
    <w:rsid w:val="00347732"/>
    <w:rsid w:val="00350924"/>
    <w:rsid w:val="00350DF3"/>
    <w:rsid w:val="00350E25"/>
    <w:rsid w:val="00351588"/>
    <w:rsid w:val="003516AE"/>
    <w:rsid w:val="003518B0"/>
    <w:rsid w:val="00352203"/>
    <w:rsid w:val="00352CC6"/>
    <w:rsid w:val="00353109"/>
    <w:rsid w:val="0035318E"/>
    <w:rsid w:val="00353A9B"/>
    <w:rsid w:val="0035467A"/>
    <w:rsid w:val="00354C62"/>
    <w:rsid w:val="00354D07"/>
    <w:rsid w:val="003551A4"/>
    <w:rsid w:val="003551C2"/>
    <w:rsid w:val="00355600"/>
    <w:rsid w:val="00355FB3"/>
    <w:rsid w:val="0035672F"/>
    <w:rsid w:val="00356A49"/>
    <w:rsid w:val="00356B1A"/>
    <w:rsid w:val="00357616"/>
    <w:rsid w:val="003579E0"/>
    <w:rsid w:val="0036065F"/>
    <w:rsid w:val="00361973"/>
    <w:rsid w:val="00361BB6"/>
    <w:rsid w:val="00361E35"/>
    <w:rsid w:val="00362111"/>
    <w:rsid w:val="00362B7E"/>
    <w:rsid w:val="00362C79"/>
    <w:rsid w:val="003630B4"/>
    <w:rsid w:val="003633A1"/>
    <w:rsid w:val="00363B92"/>
    <w:rsid w:val="00363BD0"/>
    <w:rsid w:val="00363C1A"/>
    <w:rsid w:val="00363DF5"/>
    <w:rsid w:val="00363F18"/>
    <w:rsid w:val="0036421C"/>
    <w:rsid w:val="003649C2"/>
    <w:rsid w:val="00364F00"/>
    <w:rsid w:val="00365319"/>
    <w:rsid w:val="0036629F"/>
    <w:rsid w:val="00366341"/>
    <w:rsid w:val="00366856"/>
    <w:rsid w:val="00366BED"/>
    <w:rsid w:val="00366D75"/>
    <w:rsid w:val="00367042"/>
    <w:rsid w:val="00367099"/>
    <w:rsid w:val="0036778C"/>
    <w:rsid w:val="00367888"/>
    <w:rsid w:val="00367A5E"/>
    <w:rsid w:val="00367B67"/>
    <w:rsid w:val="00367F76"/>
    <w:rsid w:val="003701E9"/>
    <w:rsid w:val="003707F6"/>
    <w:rsid w:val="00370B79"/>
    <w:rsid w:val="0037190F"/>
    <w:rsid w:val="00371E68"/>
    <w:rsid w:val="0037211B"/>
    <w:rsid w:val="0037218D"/>
    <w:rsid w:val="00372204"/>
    <w:rsid w:val="0037233A"/>
    <w:rsid w:val="00372539"/>
    <w:rsid w:val="00372B76"/>
    <w:rsid w:val="003731A6"/>
    <w:rsid w:val="003731E6"/>
    <w:rsid w:val="00373489"/>
    <w:rsid w:val="00373836"/>
    <w:rsid w:val="0037394E"/>
    <w:rsid w:val="0037396B"/>
    <w:rsid w:val="00373B3E"/>
    <w:rsid w:val="0037430F"/>
    <w:rsid w:val="00374897"/>
    <w:rsid w:val="00374999"/>
    <w:rsid w:val="00374BEB"/>
    <w:rsid w:val="003751E5"/>
    <w:rsid w:val="0037560B"/>
    <w:rsid w:val="00375DDB"/>
    <w:rsid w:val="0037666D"/>
    <w:rsid w:val="00376693"/>
    <w:rsid w:val="00376E62"/>
    <w:rsid w:val="003770F9"/>
    <w:rsid w:val="0037720B"/>
    <w:rsid w:val="003778E8"/>
    <w:rsid w:val="00377990"/>
    <w:rsid w:val="00377F6D"/>
    <w:rsid w:val="00381383"/>
    <w:rsid w:val="00381B06"/>
    <w:rsid w:val="003825F5"/>
    <w:rsid w:val="003828F2"/>
    <w:rsid w:val="00384049"/>
    <w:rsid w:val="0038436A"/>
    <w:rsid w:val="00384806"/>
    <w:rsid w:val="003850B8"/>
    <w:rsid w:val="003857A6"/>
    <w:rsid w:val="0038612A"/>
    <w:rsid w:val="00387005"/>
    <w:rsid w:val="003874F4"/>
    <w:rsid w:val="00387673"/>
    <w:rsid w:val="00387908"/>
    <w:rsid w:val="00390334"/>
    <w:rsid w:val="003908CB"/>
    <w:rsid w:val="003909BB"/>
    <w:rsid w:val="003910D8"/>
    <w:rsid w:val="0039144A"/>
    <w:rsid w:val="003915F3"/>
    <w:rsid w:val="00391973"/>
    <w:rsid w:val="00391A9A"/>
    <w:rsid w:val="00391EEF"/>
    <w:rsid w:val="003920AF"/>
    <w:rsid w:val="003921FD"/>
    <w:rsid w:val="003923F7"/>
    <w:rsid w:val="0039295D"/>
    <w:rsid w:val="00392D79"/>
    <w:rsid w:val="00392DB1"/>
    <w:rsid w:val="003932F4"/>
    <w:rsid w:val="0039384B"/>
    <w:rsid w:val="00393B54"/>
    <w:rsid w:val="00393BD7"/>
    <w:rsid w:val="00393D33"/>
    <w:rsid w:val="0039408D"/>
    <w:rsid w:val="0039420E"/>
    <w:rsid w:val="003944BE"/>
    <w:rsid w:val="00394B96"/>
    <w:rsid w:val="00394CFD"/>
    <w:rsid w:val="00395C5A"/>
    <w:rsid w:val="00395D96"/>
    <w:rsid w:val="00396140"/>
    <w:rsid w:val="003968F0"/>
    <w:rsid w:val="00396AA2"/>
    <w:rsid w:val="00396F7D"/>
    <w:rsid w:val="003970EF"/>
    <w:rsid w:val="00397787"/>
    <w:rsid w:val="00397BEA"/>
    <w:rsid w:val="003A0501"/>
    <w:rsid w:val="003A143B"/>
    <w:rsid w:val="003A1875"/>
    <w:rsid w:val="003A19B0"/>
    <w:rsid w:val="003A1E35"/>
    <w:rsid w:val="003A206D"/>
    <w:rsid w:val="003A221D"/>
    <w:rsid w:val="003A2E88"/>
    <w:rsid w:val="003A2F8E"/>
    <w:rsid w:val="003A31E7"/>
    <w:rsid w:val="003A38F2"/>
    <w:rsid w:val="003A41F7"/>
    <w:rsid w:val="003A45A7"/>
    <w:rsid w:val="003A496D"/>
    <w:rsid w:val="003A4C89"/>
    <w:rsid w:val="003A5087"/>
    <w:rsid w:val="003A521C"/>
    <w:rsid w:val="003A5807"/>
    <w:rsid w:val="003A5B6B"/>
    <w:rsid w:val="003A5E80"/>
    <w:rsid w:val="003A600F"/>
    <w:rsid w:val="003A6D81"/>
    <w:rsid w:val="003A717B"/>
    <w:rsid w:val="003A795C"/>
    <w:rsid w:val="003A7B84"/>
    <w:rsid w:val="003A7EA9"/>
    <w:rsid w:val="003B0A00"/>
    <w:rsid w:val="003B1239"/>
    <w:rsid w:val="003B1387"/>
    <w:rsid w:val="003B21D1"/>
    <w:rsid w:val="003B38F0"/>
    <w:rsid w:val="003B3B2A"/>
    <w:rsid w:val="003B3B58"/>
    <w:rsid w:val="003B3DA2"/>
    <w:rsid w:val="003B3E33"/>
    <w:rsid w:val="003B501C"/>
    <w:rsid w:val="003B5FCD"/>
    <w:rsid w:val="003B611E"/>
    <w:rsid w:val="003B682C"/>
    <w:rsid w:val="003B6BA4"/>
    <w:rsid w:val="003B6E19"/>
    <w:rsid w:val="003B70C0"/>
    <w:rsid w:val="003B736C"/>
    <w:rsid w:val="003B7502"/>
    <w:rsid w:val="003B7808"/>
    <w:rsid w:val="003B7A2A"/>
    <w:rsid w:val="003C0267"/>
    <w:rsid w:val="003C050A"/>
    <w:rsid w:val="003C0756"/>
    <w:rsid w:val="003C0F33"/>
    <w:rsid w:val="003C1C8B"/>
    <w:rsid w:val="003C1D5E"/>
    <w:rsid w:val="003C27B0"/>
    <w:rsid w:val="003C27C2"/>
    <w:rsid w:val="003C28A8"/>
    <w:rsid w:val="003C2C02"/>
    <w:rsid w:val="003C2C9A"/>
    <w:rsid w:val="003C2DAD"/>
    <w:rsid w:val="003C360D"/>
    <w:rsid w:val="003C371B"/>
    <w:rsid w:val="003C391E"/>
    <w:rsid w:val="003C3B0B"/>
    <w:rsid w:val="003C4972"/>
    <w:rsid w:val="003C4995"/>
    <w:rsid w:val="003C49C6"/>
    <w:rsid w:val="003C4A43"/>
    <w:rsid w:val="003C4CBD"/>
    <w:rsid w:val="003C5A08"/>
    <w:rsid w:val="003C5BDA"/>
    <w:rsid w:val="003C5C01"/>
    <w:rsid w:val="003C5DBA"/>
    <w:rsid w:val="003C611D"/>
    <w:rsid w:val="003C6359"/>
    <w:rsid w:val="003C6694"/>
    <w:rsid w:val="003C6AEF"/>
    <w:rsid w:val="003C6C28"/>
    <w:rsid w:val="003C7611"/>
    <w:rsid w:val="003D068C"/>
    <w:rsid w:val="003D0A6C"/>
    <w:rsid w:val="003D1A49"/>
    <w:rsid w:val="003D1C17"/>
    <w:rsid w:val="003D1C90"/>
    <w:rsid w:val="003D1D75"/>
    <w:rsid w:val="003D1F31"/>
    <w:rsid w:val="003D21B5"/>
    <w:rsid w:val="003D2283"/>
    <w:rsid w:val="003D2355"/>
    <w:rsid w:val="003D25EA"/>
    <w:rsid w:val="003D263B"/>
    <w:rsid w:val="003D3344"/>
    <w:rsid w:val="003D3AD6"/>
    <w:rsid w:val="003D3B38"/>
    <w:rsid w:val="003D4532"/>
    <w:rsid w:val="003D46EF"/>
    <w:rsid w:val="003D4A32"/>
    <w:rsid w:val="003D4E0B"/>
    <w:rsid w:val="003D5340"/>
    <w:rsid w:val="003D54BC"/>
    <w:rsid w:val="003D6308"/>
    <w:rsid w:val="003D6F3A"/>
    <w:rsid w:val="003D70CF"/>
    <w:rsid w:val="003D721C"/>
    <w:rsid w:val="003D75E4"/>
    <w:rsid w:val="003D785A"/>
    <w:rsid w:val="003D7DC2"/>
    <w:rsid w:val="003E04F1"/>
    <w:rsid w:val="003E0964"/>
    <w:rsid w:val="003E0A09"/>
    <w:rsid w:val="003E0DE8"/>
    <w:rsid w:val="003E1461"/>
    <w:rsid w:val="003E152A"/>
    <w:rsid w:val="003E1768"/>
    <w:rsid w:val="003E19AC"/>
    <w:rsid w:val="003E1AE4"/>
    <w:rsid w:val="003E1AF7"/>
    <w:rsid w:val="003E1EA0"/>
    <w:rsid w:val="003E24DB"/>
    <w:rsid w:val="003E24E3"/>
    <w:rsid w:val="003E2E3C"/>
    <w:rsid w:val="003E318B"/>
    <w:rsid w:val="003E3C84"/>
    <w:rsid w:val="003E3CC5"/>
    <w:rsid w:val="003E3DC3"/>
    <w:rsid w:val="003E42FA"/>
    <w:rsid w:val="003E4A8A"/>
    <w:rsid w:val="003E4A9B"/>
    <w:rsid w:val="003E5FE6"/>
    <w:rsid w:val="003E62DA"/>
    <w:rsid w:val="003E68F3"/>
    <w:rsid w:val="003E6914"/>
    <w:rsid w:val="003E6A77"/>
    <w:rsid w:val="003E6C93"/>
    <w:rsid w:val="003E6DCF"/>
    <w:rsid w:val="003E76E1"/>
    <w:rsid w:val="003E7C28"/>
    <w:rsid w:val="003F0557"/>
    <w:rsid w:val="003F05CE"/>
    <w:rsid w:val="003F06A9"/>
    <w:rsid w:val="003F0716"/>
    <w:rsid w:val="003F08C5"/>
    <w:rsid w:val="003F0C34"/>
    <w:rsid w:val="003F0D1B"/>
    <w:rsid w:val="003F0FF0"/>
    <w:rsid w:val="003F107A"/>
    <w:rsid w:val="003F1093"/>
    <w:rsid w:val="003F14D1"/>
    <w:rsid w:val="003F1918"/>
    <w:rsid w:val="003F1B41"/>
    <w:rsid w:val="003F1EFC"/>
    <w:rsid w:val="003F1FC9"/>
    <w:rsid w:val="003F2300"/>
    <w:rsid w:val="003F2364"/>
    <w:rsid w:val="003F29D0"/>
    <w:rsid w:val="003F2B0C"/>
    <w:rsid w:val="003F2B60"/>
    <w:rsid w:val="003F320D"/>
    <w:rsid w:val="003F3263"/>
    <w:rsid w:val="003F33AB"/>
    <w:rsid w:val="003F38B0"/>
    <w:rsid w:val="003F495B"/>
    <w:rsid w:val="003F4994"/>
    <w:rsid w:val="003F5104"/>
    <w:rsid w:val="003F555F"/>
    <w:rsid w:val="003F563C"/>
    <w:rsid w:val="003F5881"/>
    <w:rsid w:val="003F613B"/>
    <w:rsid w:val="003F69A1"/>
    <w:rsid w:val="003F69A3"/>
    <w:rsid w:val="003F6D4D"/>
    <w:rsid w:val="003F6F47"/>
    <w:rsid w:val="003F6F7C"/>
    <w:rsid w:val="003F749E"/>
    <w:rsid w:val="003F7622"/>
    <w:rsid w:val="003F7880"/>
    <w:rsid w:val="00400416"/>
    <w:rsid w:val="00400598"/>
    <w:rsid w:val="00400990"/>
    <w:rsid w:val="00400F03"/>
    <w:rsid w:val="0040114A"/>
    <w:rsid w:val="004012F7"/>
    <w:rsid w:val="00401FA8"/>
    <w:rsid w:val="00402648"/>
    <w:rsid w:val="00402BD0"/>
    <w:rsid w:val="00402EAB"/>
    <w:rsid w:val="00403FC8"/>
    <w:rsid w:val="004042B5"/>
    <w:rsid w:val="004044DD"/>
    <w:rsid w:val="004053E6"/>
    <w:rsid w:val="004054FD"/>
    <w:rsid w:val="00405943"/>
    <w:rsid w:val="004059CA"/>
    <w:rsid w:val="00405B2C"/>
    <w:rsid w:val="00406999"/>
    <w:rsid w:val="00406CD1"/>
    <w:rsid w:val="00406E9D"/>
    <w:rsid w:val="0040775C"/>
    <w:rsid w:val="00407EF6"/>
    <w:rsid w:val="0041095C"/>
    <w:rsid w:val="00410ABE"/>
    <w:rsid w:val="00411221"/>
    <w:rsid w:val="00411605"/>
    <w:rsid w:val="00411E44"/>
    <w:rsid w:val="00412180"/>
    <w:rsid w:val="00412DBE"/>
    <w:rsid w:val="00413C21"/>
    <w:rsid w:val="00413DC0"/>
    <w:rsid w:val="0041467E"/>
    <w:rsid w:val="00414DD0"/>
    <w:rsid w:val="00415685"/>
    <w:rsid w:val="004159E8"/>
    <w:rsid w:val="0041618F"/>
    <w:rsid w:val="004165B8"/>
    <w:rsid w:val="004168B4"/>
    <w:rsid w:val="00416B7C"/>
    <w:rsid w:val="004170C3"/>
    <w:rsid w:val="00417C2F"/>
    <w:rsid w:val="00417F4B"/>
    <w:rsid w:val="0042085F"/>
    <w:rsid w:val="00420CED"/>
    <w:rsid w:val="00420F6D"/>
    <w:rsid w:val="0042196B"/>
    <w:rsid w:val="004219A5"/>
    <w:rsid w:val="00421A12"/>
    <w:rsid w:val="00421ADF"/>
    <w:rsid w:val="00422077"/>
    <w:rsid w:val="004225E4"/>
    <w:rsid w:val="00422606"/>
    <w:rsid w:val="004230D0"/>
    <w:rsid w:val="0042488B"/>
    <w:rsid w:val="00424962"/>
    <w:rsid w:val="00425220"/>
    <w:rsid w:val="004260B1"/>
    <w:rsid w:val="0042636E"/>
    <w:rsid w:val="0042674C"/>
    <w:rsid w:val="00426EEE"/>
    <w:rsid w:val="00426F88"/>
    <w:rsid w:val="00427539"/>
    <w:rsid w:val="00427E42"/>
    <w:rsid w:val="004305C0"/>
    <w:rsid w:val="00431054"/>
    <w:rsid w:val="00431368"/>
    <w:rsid w:val="00431933"/>
    <w:rsid w:val="004327DD"/>
    <w:rsid w:val="0043288F"/>
    <w:rsid w:val="004329B6"/>
    <w:rsid w:val="00432A44"/>
    <w:rsid w:val="00432E64"/>
    <w:rsid w:val="00432EA6"/>
    <w:rsid w:val="00432F7D"/>
    <w:rsid w:val="004331DA"/>
    <w:rsid w:val="00433345"/>
    <w:rsid w:val="00433A99"/>
    <w:rsid w:val="004344D5"/>
    <w:rsid w:val="00434B4E"/>
    <w:rsid w:val="00434C34"/>
    <w:rsid w:val="00434E1B"/>
    <w:rsid w:val="004352F0"/>
    <w:rsid w:val="00435D52"/>
    <w:rsid w:val="00436939"/>
    <w:rsid w:val="00436C08"/>
    <w:rsid w:val="00437227"/>
    <w:rsid w:val="00437330"/>
    <w:rsid w:val="00437390"/>
    <w:rsid w:val="0043742B"/>
    <w:rsid w:val="00437705"/>
    <w:rsid w:val="0043773B"/>
    <w:rsid w:val="00437CD5"/>
    <w:rsid w:val="0044032B"/>
    <w:rsid w:val="0044073A"/>
    <w:rsid w:val="00440850"/>
    <w:rsid w:val="00440DF2"/>
    <w:rsid w:val="00440F78"/>
    <w:rsid w:val="004410A7"/>
    <w:rsid w:val="00441133"/>
    <w:rsid w:val="00441498"/>
    <w:rsid w:val="00441AEC"/>
    <w:rsid w:val="00441CC3"/>
    <w:rsid w:val="004420FB"/>
    <w:rsid w:val="004420FD"/>
    <w:rsid w:val="004426AF"/>
    <w:rsid w:val="00442752"/>
    <w:rsid w:val="00442C96"/>
    <w:rsid w:val="00442DEE"/>
    <w:rsid w:val="00442E1A"/>
    <w:rsid w:val="00442E36"/>
    <w:rsid w:val="00442E59"/>
    <w:rsid w:val="0044345F"/>
    <w:rsid w:val="00443718"/>
    <w:rsid w:val="0044444C"/>
    <w:rsid w:val="00444AD7"/>
    <w:rsid w:val="00444D7B"/>
    <w:rsid w:val="00445282"/>
    <w:rsid w:val="004458D9"/>
    <w:rsid w:val="004461FF"/>
    <w:rsid w:val="0044652A"/>
    <w:rsid w:val="00446F75"/>
    <w:rsid w:val="00447142"/>
    <w:rsid w:val="004473A5"/>
    <w:rsid w:val="00447418"/>
    <w:rsid w:val="00447582"/>
    <w:rsid w:val="00447BD1"/>
    <w:rsid w:val="00447C1E"/>
    <w:rsid w:val="00447D2C"/>
    <w:rsid w:val="004502DA"/>
    <w:rsid w:val="0045049D"/>
    <w:rsid w:val="00450E16"/>
    <w:rsid w:val="00450E68"/>
    <w:rsid w:val="00451210"/>
    <w:rsid w:val="004527CD"/>
    <w:rsid w:val="004528D6"/>
    <w:rsid w:val="0045327A"/>
    <w:rsid w:val="004537B9"/>
    <w:rsid w:val="00453F13"/>
    <w:rsid w:val="00454442"/>
    <w:rsid w:val="0045476A"/>
    <w:rsid w:val="004547EF"/>
    <w:rsid w:val="004549C2"/>
    <w:rsid w:val="004554E3"/>
    <w:rsid w:val="00455A1A"/>
    <w:rsid w:val="00455C66"/>
    <w:rsid w:val="004564B7"/>
    <w:rsid w:val="0045704F"/>
    <w:rsid w:val="00457072"/>
    <w:rsid w:val="004576DA"/>
    <w:rsid w:val="00457A67"/>
    <w:rsid w:val="0046087E"/>
    <w:rsid w:val="0046104C"/>
    <w:rsid w:val="00461455"/>
    <w:rsid w:val="00461578"/>
    <w:rsid w:val="00461F3D"/>
    <w:rsid w:val="00462126"/>
    <w:rsid w:val="004626EC"/>
    <w:rsid w:val="00462B27"/>
    <w:rsid w:val="004631CB"/>
    <w:rsid w:val="0046324C"/>
    <w:rsid w:val="0046378B"/>
    <w:rsid w:val="00463DC1"/>
    <w:rsid w:val="0046424D"/>
    <w:rsid w:val="00464770"/>
    <w:rsid w:val="004648DE"/>
    <w:rsid w:val="00464CED"/>
    <w:rsid w:val="004658A1"/>
    <w:rsid w:val="004658E4"/>
    <w:rsid w:val="004661BC"/>
    <w:rsid w:val="00466453"/>
    <w:rsid w:val="00466BA1"/>
    <w:rsid w:val="004672AA"/>
    <w:rsid w:val="00467330"/>
    <w:rsid w:val="0046760D"/>
    <w:rsid w:val="00467676"/>
    <w:rsid w:val="0046786B"/>
    <w:rsid w:val="00470B1B"/>
    <w:rsid w:val="00470E93"/>
    <w:rsid w:val="00472990"/>
    <w:rsid w:val="00472ABA"/>
    <w:rsid w:val="00472B9E"/>
    <w:rsid w:val="00472BA4"/>
    <w:rsid w:val="004730FD"/>
    <w:rsid w:val="00473151"/>
    <w:rsid w:val="0047392D"/>
    <w:rsid w:val="004740E0"/>
    <w:rsid w:val="004744B5"/>
    <w:rsid w:val="004744FF"/>
    <w:rsid w:val="00474740"/>
    <w:rsid w:val="0047499D"/>
    <w:rsid w:val="00475045"/>
    <w:rsid w:val="004751EC"/>
    <w:rsid w:val="004753CD"/>
    <w:rsid w:val="004757CC"/>
    <w:rsid w:val="00475A0D"/>
    <w:rsid w:val="00475CA5"/>
    <w:rsid w:val="00475F7A"/>
    <w:rsid w:val="00476C94"/>
    <w:rsid w:val="00476D37"/>
    <w:rsid w:val="00477082"/>
    <w:rsid w:val="004775F2"/>
    <w:rsid w:val="004776AC"/>
    <w:rsid w:val="00477860"/>
    <w:rsid w:val="00477A58"/>
    <w:rsid w:val="00477D36"/>
    <w:rsid w:val="00477E15"/>
    <w:rsid w:val="004807DF"/>
    <w:rsid w:val="00480A3D"/>
    <w:rsid w:val="00480BE1"/>
    <w:rsid w:val="004813ED"/>
    <w:rsid w:val="004815B2"/>
    <w:rsid w:val="00481939"/>
    <w:rsid w:val="00481E74"/>
    <w:rsid w:val="00483ABD"/>
    <w:rsid w:val="00484810"/>
    <w:rsid w:val="00484B66"/>
    <w:rsid w:val="004850E8"/>
    <w:rsid w:val="004851D8"/>
    <w:rsid w:val="00485812"/>
    <w:rsid w:val="00485851"/>
    <w:rsid w:val="00485890"/>
    <w:rsid w:val="00485AA2"/>
    <w:rsid w:val="00485B67"/>
    <w:rsid w:val="00485C2F"/>
    <w:rsid w:val="00485D0B"/>
    <w:rsid w:val="00485E94"/>
    <w:rsid w:val="00485F74"/>
    <w:rsid w:val="004861D2"/>
    <w:rsid w:val="00486356"/>
    <w:rsid w:val="004864EB"/>
    <w:rsid w:val="00486722"/>
    <w:rsid w:val="004869D3"/>
    <w:rsid w:val="00486A88"/>
    <w:rsid w:val="00486CBA"/>
    <w:rsid w:val="00486FD9"/>
    <w:rsid w:val="004873E9"/>
    <w:rsid w:val="0048757F"/>
    <w:rsid w:val="0048794C"/>
    <w:rsid w:val="00487B31"/>
    <w:rsid w:val="004903CE"/>
    <w:rsid w:val="0049070D"/>
    <w:rsid w:val="00491611"/>
    <w:rsid w:val="00491848"/>
    <w:rsid w:val="004925F5"/>
    <w:rsid w:val="00492ED6"/>
    <w:rsid w:val="004932DD"/>
    <w:rsid w:val="00493FD1"/>
    <w:rsid w:val="00494379"/>
    <w:rsid w:val="0049458F"/>
    <w:rsid w:val="004946C8"/>
    <w:rsid w:val="00494D7E"/>
    <w:rsid w:val="00494EB7"/>
    <w:rsid w:val="004950F5"/>
    <w:rsid w:val="004951B3"/>
    <w:rsid w:val="0049586B"/>
    <w:rsid w:val="004959A3"/>
    <w:rsid w:val="00495EB3"/>
    <w:rsid w:val="00495F9D"/>
    <w:rsid w:val="00496044"/>
    <w:rsid w:val="004960AE"/>
    <w:rsid w:val="00496912"/>
    <w:rsid w:val="004978E3"/>
    <w:rsid w:val="00497B35"/>
    <w:rsid w:val="00497DCE"/>
    <w:rsid w:val="00497E3E"/>
    <w:rsid w:val="004A015C"/>
    <w:rsid w:val="004A0C35"/>
    <w:rsid w:val="004A1126"/>
    <w:rsid w:val="004A164D"/>
    <w:rsid w:val="004A18A0"/>
    <w:rsid w:val="004A1F49"/>
    <w:rsid w:val="004A269B"/>
    <w:rsid w:val="004A2A1E"/>
    <w:rsid w:val="004A2A94"/>
    <w:rsid w:val="004A2B32"/>
    <w:rsid w:val="004A2D7C"/>
    <w:rsid w:val="004A303A"/>
    <w:rsid w:val="004A324C"/>
    <w:rsid w:val="004A3441"/>
    <w:rsid w:val="004A37D0"/>
    <w:rsid w:val="004A3DD0"/>
    <w:rsid w:val="004A424B"/>
    <w:rsid w:val="004A49AE"/>
    <w:rsid w:val="004A5665"/>
    <w:rsid w:val="004A5711"/>
    <w:rsid w:val="004A58FC"/>
    <w:rsid w:val="004A5B28"/>
    <w:rsid w:val="004A5EE6"/>
    <w:rsid w:val="004A6C79"/>
    <w:rsid w:val="004A6E14"/>
    <w:rsid w:val="004A7176"/>
    <w:rsid w:val="004A7F81"/>
    <w:rsid w:val="004B0610"/>
    <w:rsid w:val="004B0807"/>
    <w:rsid w:val="004B0A7C"/>
    <w:rsid w:val="004B1CB5"/>
    <w:rsid w:val="004B237B"/>
    <w:rsid w:val="004B27BF"/>
    <w:rsid w:val="004B306B"/>
    <w:rsid w:val="004B3120"/>
    <w:rsid w:val="004B3388"/>
    <w:rsid w:val="004B4C8E"/>
    <w:rsid w:val="004B4E20"/>
    <w:rsid w:val="004B4E3F"/>
    <w:rsid w:val="004B52F7"/>
    <w:rsid w:val="004B5659"/>
    <w:rsid w:val="004B5B4B"/>
    <w:rsid w:val="004B6EB4"/>
    <w:rsid w:val="004B73E5"/>
    <w:rsid w:val="004B7666"/>
    <w:rsid w:val="004C07AD"/>
    <w:rsid w:val="004C08D9"/>
    <w:rsid w:val="004C0FD0"/>
    <w:rsid w:val="004C1498"/>
    <w:rsid w:val="004C1DE6"/>
    <w:rsid w:val="004C1E14"/>
    <w:rsid w:val="004C2448"/>
    <w:rsid w:val="004C24BA"/>
    <w:rsid w:val="004C27BF"/>
    <w:rsid w:val="004C2A52"/>
    <w:rsid w:val="004C308F"/>
    <w:rsid w:val="004C34BB"/>
    <w:rsid w:val="004C3632"/>
    <w:rsid w:val="004C3BB1"/>
    <w:rsid w:val="004C3D2A"/>
    <w:rsid w:val="004C3DDF"/>
    <w:rsid w:val="004C4287"/>
    <w:rsid w:val="004C4B77"/>
    <w:rsid w:val="004C52F0"/>
    <w:rsid w:val="004C58F2"/>
    <w:rsid w:val="004C605B"/>
    <w:rsid w:val="004C6113"/>
    <w:rsid w:val="004C64AF"/>
    <w:rsid w:val="004C6625"/>
    <w:rsid w:val="004C674B"/>
    <w:rsid w:val="004C678D"/>
    <w:rsid w:val="004C69DC"/>
    <w:rsid w:val="004C6DED"/>
    <w:rsid w:val="004C74FC"/>
    <w:rsid w:val="004C77B3"/>
    <w:rsid w:val="004D02C5"/>
    <w:rsid w:val="004D07AA"/>
    <w:rsid w:val="004D1CA0"/>
    <w:rsid w:val="004D226C"/>
    <w:rsid w:val="004D22B3"/>
    <w:rsid w:val="004D2346"/>
    <w:rsid w:val="004D2680"/>
    <w:rsid w:val="004D2AA7"/>
    <w:rsid w:val="004D2CF4"/>
    <w:rsid w:val="004D2D17"/>
    <w:rsid w:val="004D2DB4"/>
    <w:rsid w:val="004D408D"/>
    <w:rsid w:val="004D4514"/>
    <w:rsid w:val="004D4D84"/>
    <w:rsid w:val="004D6F0F"/>
    <w:rsid w:val="004D7106"/>
    <w:rsid w:val="004D723A"/>
    <w:rsid w:val="004D76D8"/>
    <w:rsid w:val="004E0381"/>
    <w:rsid w:val="004E074C"/>
    <w:rsid w:val="004E0860"/>
    <w:rsid w:val="004E0C43"/>
    <w:rsid w:val="004E0EBD"/>
    <w:rsid w:val="004E10A1"/>
    <w:rsid w:val="004E10D6"/>
    <w:rsid w:val="004E18ED"/>
    <w:rsid w:val="004E280A"/>
    <w:rsid w:val="004E291B"/>
    <w:rsid w:val="004E294A"/>
    <w:rsid w:val="004E2F5F"/>
    <w:rsid w:val="004E313B"/>
    <w:rsid w:val="004E3385"/>
    <w:rsid w:val="004E3B3D"/>
    <w:rsid w:val="004E40F6"/>
    <w:rsid w:val="004E44F5"/>
    <w:rsid w:val="004E4749"/>
    <w:rsid w:val="004E47BD"/>
    <w:rsid w:val="004E5FA5"/>
    <w:rsid w:val="004E673B"/>
    <w:rsid w:val="004E6B77"/>
    <w:rsid w:val="004E7152"/>
    <w:rsid w:val="004E726B"/>
    <w:rsid w:val="004E783B"/>
    <w:rsid w:val="004E78F1"/>
    <w:rsid w:val="004E7906"/>
    <w:rsid w:val="004E7945"/>
    <w:rsid w:val="004E7A79"/>
    <w:rsid w:val="004E7D36"/>
    <w:rsid w:val="004F0057"/>
    <w:rsid w:val="004F06B0"/>
    <w:rsid w:val="004F0A3F"/>
    <w:rsid w:val="004F0BB9"/>
    <w:rsid w:val="004F1277"/>
    <w:rsid w:val="004F1398"/>
    <w:rsid w:val="004F15B2"/>
    <w:rsid w:val="004F166D"/>
    <w:rsid w:val="004F1854"/>
    <w:rsid w:val="004F1CC5"/>
    <w:rsid w:val="004F20C9"/>
    <w:rsid w:val="004F210C"/>
    <w:rsid w:val="004F2781"/>
    <w:rsid w:val="004F32CB"/>
    <w:rsid w:val="004F34E0"/>
    <w:rsid w:val="004F367A"/>
    <w:rsid w:val="004F38D1"/>
    <w:rsid w:val="004F44E6"/>
    <w:rsid w:val="004F4502"/>
    <w:rsid w:val="004F49A5"/>
    <w:rsid w:val="004F5CD9"/>
    <w:rsid w:val="004F6154"/>
    <w:rsid w:val="004F6477"/>
    <w:rsid w:val="004F6D76"/>
    <w:rsid w:val="004F7161"/>
    <w:rsid w:val="004F7763"/>
    <w:rsid w:val="004F7E7E"/>
    <w:rsid w:val="00500461"/>
    <w:rsid w:val="0050048A"/>
    <w:rsid w:val="005008AA"/>
    <w:rsid w:val="00500EBC"/>
    <w:rsid w:val="005019B7"/>
    <w:rsid w:val="00501C5E"/>
    <w:rsid w:val="00502B83"/>
    <w:rsid w:val="00502BB4"/>
    <w:rsid w:val="00502F50"/>
    <w:rsid w:val="005036D7"/>
    <w:rsid w:val="0050435A"/>
    <w:rsid w:val="00504486"/>
    <w:rsid w:val="005046EB"/>
    <w:rsid w:val="00504C6A"/>
    <w:rsid w:val="0050538B"/>
    <w:rsid w:val="00505814"/>
    <w:rsid w:val="00505D65"/>
    <w:rsid w:val="0050682E"/>
    <w:rsid w:val="005069D8"/>
    <w:rsid w:val="00506C74"/>
    <w:rsid w:val="00507584"/>
    <w:rsid w:val="00507624"/>
    <w:rsid w:val="0051002D"/>
    <w:rsid w:val="00510AD0"/>
    <w:rsid w:val="00510B71"/>
    <w:rsid w:val="00510CD0"/>
    <w:rsid w:val="00510DD3"/>
    <w:rsid w:val="00510DE7"/>
    <w:rsid w:val="00510E21"/>
    <w:rsid w:val="0051105D"/>
    <w:rsid w:val="00511646"/>
    <w:rsid w:val="00511A7A"/>
    <w:rsid w:val="00511BF2"/>
    <w:rsid w:val="00512B68"/>
    <w:rsid w:val="00512C8B"/>
    <w:rsid w:val="00512E6D"/>
    <w:rsid w:val="00512ED7"/>
    <w:rsid w:val="00513630"/>
    <w:rsid w:val="00513BB0"/>
    <w:rsid w:val="00513DC3"/>
    <w:rsid w:val="00514923"/>
    <w:rsid w:val="00514EA9"/>
    <w:rsid w:val="00515A24"/>
    <w:rsid w:val="00516441"/>
    <w:rsid w:val="005166DF"/>
    <w:rsid w:val="00516827"/>
    <w:rsid w:val="005179A4"/>
    <w:rsid w:val="00517E9D"/>
    <w:rsid w:val="00517EA4"/>
    <w:rsid w:val="00520903"/>
    <w:rsid w:val="005209D5"/>
    <w:rsid w:val="005210A1"/>
    <w:rsid w:val="005214F7"/>
    <w:rsid w:val="00521D2B"/>
    <w:rsid w:val="00522314"/>
    <w:rsid w:val="00522E0F"/>
    <w:rsid w:val="005230F3"/>
    <w:rsid w:val="00523BA6"/>
    <w:rsid w:val="00523CF2"/>
    <w:rsid w:val="00524370"/>
    <w:rsid w:val="00524632"/>
    <w:rsid w:val="00525197"/>
    <w:rsid w:val="00525632"/>
    <w:rsid w:val="00525CF7"/>
    <w:rsid w:val="0052635A"/>
    <w:rsid w:val="005276CD"/>
    <w:rsid w:val="0052788D"/>
    <w:rsid w:val="00527D3E"/>
    <w:rsid w:val="00530067"/>
    <w:rsid w:val="00530812"/>
    <w:rsid w:val="0053089C"/>
    <w:rsid w:val="00530B4A"/>
    <w:rsid w:val="00530C8E"/>
    <w:rsid w:val="00531002"/>
    <w:rsid w:val="00532384"/>
    <w:rsid w:val="005325FF"/>
    <w:rsid w:val="00533A9E"/>
    <w:rsid w:val="00534134"/>
    <w:rsid w:val="00534C2B"/>
    <w:rsid w:val="005351CE"/>
    <w:rsid w:val="0053574F"/>
    <w:rsid w:val="00536018"/>
    <w:rsid w:val="00536519"/>
    <w:rsid w:val="00536D95"/>
    <w:rsid w:val="0053704C"/>
    <w:rsid w:val="00537119"/>
    <w:rsid w:val="0053752B"/>
    <w:rsid w:val="00537671"/>
    <w:rsid w:val="00537A7B"/>
    <w:rsid w:val="00537D06"/>
    <w:rsid w:val="00537F47"/>
    <w:rsid w:val="00540425"/>
    <w:rsid w:val="005406A1"/>
    <w:rsid w:val="005406E5"/>
    <w:rsid w:val="00540FD7"/>
    <w:rsid w:val="00541150"/>
    <w:rsid w:val="005413A2"/>
    <w:rsid w:val="005415B3"/>
    <w:rsid w:val="0054166C"/>
    <w:rsid w:val="005416F1"/>
    <w:rsid w:val="00541D4A"/>
    <w:rsid w:val="00542672"/>
    <w:rsid w:val="00542680"/>
    <w:rsid w:val="00542B3E"/>
    <w:rsid w:val="00542B65"/>
    <w:rsid w:val="00542D0D"/>
    <w:rsid w:val="00543463"/>
    <w:rsid w:val="00543C17"/>
    <w:rsid w:val="00544AC3"/>
    <w:rsid w:val="00544F84"/>
    <w:rsid w:val="0054657F"/>
    <w:rsid w:val="00547033"/>
    <w:rsid w:val="005474FE"/>
    <w:rsid w:val="005475AC"/>
    <w:rsid w:val="005476F7"/>
    <w:rsid w:val="00547C14"/>
    <w:rsid w:val="0055012E"/>
    <w:rsid w:val="00550572"/>
    <w:rsid w:val="00550731"/>
    <w:rsid w:val="00551A50"/>
    <w:rsid w:val="00551C98"/>
    <w:rsid w:val="00551EFF"/>
    <w:rsid w:val="0055218C"/>
    <w:rsid w:val="005521A0"/>
    <w:rsid w:val="005524AA"/>
    <w:rsid w:val="005530CE"/>
    <w:rsid w:val="005538EB"/>
    <w:rsid w:val="00553C87"/>
    <w:rsid w:val="0055404A"/>
    <w:rsid w:val="00554551"/>
    <w:rsid w:val="00554F4E"/>
    <w:rsid w:val="005556B9"/>
    <w:rsid w:val="00555736"/>
    <w:rsid w:val="005560CF"/>
    <w:rsid w:val="00556603"/>
    <w:rsid w:val="00556634"/>
    <w:rsid w:val="00557149"/>
    <w:rsid w:val="00557C96"/>
    <w:rsid w:val="00557C9B"/>
    <w:rsid w:val="00557DC7"/>
    <w:rsid w:val="005600C8"/>
    <w:rsid w:val="005604E9"/>
    <w:rsid w:val="00560601"/>
    <w:rsid w:val="0056060C"/>
    <w:rsid w:val="00560A33"/>
    <w:rsid w:val="0056163D"/>
    <w:rsid w:val="00561D23"/>
    <w:rsid w:val="00561D7A"/>
    <w:rsid w:val="005621DE"/>
    <w:rsid w:val="005624E7"/>
    <w:rsid w:val="005626A5"/>
    <w:rsid w:val="00562B9E"/>
    <w:rsid w:val="00562EA1"/>
    <w:rsid w:val="00563300"/>
    <w:rsid w:val="00563301"/>
    <w:rsid w:val="00563669"/>
    <w:rsid w:val="00563C6B"/>
    <w:rsid w:val="00563D98"/>
    <w:rsid w:val="00563ED6"/>
    <w:rsid w:val="00563FB7"/>
    <w:rsid w:val="00564C75"/>
    <w:rsid w:val="00565FF4"/>
    <w:rsid w:val="00566AF8"/>
    <w:rsid w:val="0056719A"/>
    <w:rsid w:val="00567E5A"/>
    <w:rsid w:val="00570173"/>
    <w:rsid w:val="00570E3C"/>
    <w:rsid w:val="005718CC"/>
    <w:rsid w:val="00571B09"/>
    <w:rsid w:val="00571D6E"/>
    <w:rsid w:val="00572015"/>
    <w:rsid w:val="0057211C"/>
    <w:rsid w:val="0057223D"/>
    <w:rsid w:val="0057274E"/>
    <w:rsid w:val="00572761"/>
    <w:rsid w:val="0057285C"/>
    <w:rsid w:val="00572C52"/>
    <w:rsid w:val="00572C96"/>
    <w:rsid w:val="0057318D"/>
    <w:rsid w:val="00573519"/>
    <w:rsid w:val="005738F0"/>
    <w:rsid w:val="00573B3A"/>
    <w:rsid w:val="00573B4A"/>
    <w:rsid w:val="00573FA4"/>
    <w:rsid w:val="00574513"/>
    <w:rsid w:val="005765ED"/>
    <w:rsid w:val="00577099"/>
    <w:rsid w:val="005771BC"/>
    <w:rsid w:val="00577495"/>
    <w:rsid w:val="005776F9"/>
    <w:rsid w:val="00577C1F"/>
    <w:rsid w:val="00580259"/>
    <w:rsid w:val="0058026F"/>
    <w:rsid w:val="00580617"/>
    <w:rsid w:val="00580AF9"/>
    <w:rsid w:val="005812C9"/>
    <w:rsid w:val="005814BD"/>
    <w:rsid w:val="00581764"/>
    <w:rsid w:val="00581C46"/>
    <w:rsid w:val="00581FCA"/>
    <w:rsid w:val="00582101"/>
    <w:rsid w:val="005826C6"/>
    <w:rsid w:val="00583099"/>
    <w:rsid w:val="0058335B"/>
    <w:rsid w:val="0058371A"/>
    <w:rsid w:val="005837DA"/>
    <w:rsid w:val="00583DF2"/>
    <w:rsid w:val="005842F9"/>
    <w:rsid w:val="00584AFA"/>
    <w:rsid w:val="00585360"/>
    <w:rsid w:val="00585CE0"/>
    <w:rsid w:val="00585F18"/>
    <w:rsid w:val="0058637E"/>
    <w:rsid w:val="00586432"/>
    <w:rsid w:val="00586B01"/>
    <w:rsid w:val="00586E05"/>
    <w:rsid w:val="005872A6"/>
    <w:rsid w:val="0058745F"/>
    <w:rsid w:val="00590746"/>
    <w:rsid w:val="005907C3"/>
    <w:rsid w:val="005916FA"/>
    <w:rsid w:val="00591B8F"/>
    <w:rsid w:val="00591E21"/>
    <w:rsid w:val="00592C57"/>
    <w:rsid w:val="00592CAC"/>
    <w:rsid w:val="005932EB"/>
    <w:rsid w:val="005937A1"/>
    <w:rsid w:val="00593862"/>
    <w:rsid w:val="0059409E"/>
    <w:rsid w:val="0059435A"/>
    <w:rsid w:val="00594484"/>
    <w:rsid w:val="005945EB"/>
    <w:rsid w:val="005947A1"/>
    <w:rsid w:val="00594917"/>
    <w:rsid w:val="00594FDE"/>
    <w:rsid w:val="00595136"/>
    <w:rsid w:val="0059548A"/>
    <w:rsid w:val="00595889"/>
    <w:rsid w:val="00595A06"/>
    <w:rsid w:val="00595EFD"/>
    <w:rsid w:val="00595F60"/>
    <w:rsid w:val="005964AC"/>
    <w:rsid w:val="00596BF4"/>
    <w:rsid w:val="00596CE8"/>
    <w:rsid w:val="00596E95"/>
    <w:rsid w:val="00596FC1"/>
    <w:rsid w:val="005978AC"/>
    <w:rsid w:val="005A07B1"/>
    <w:rsid w:val="005A0A5A"/>
    <w:rsid w:val="005A0E43"/>
    <w:rsid w:val="005A0F6F"/>
    <w:rsid w:val="005A0FF2"/>
    <w:rsid w:val="005A1185"/>
    <w:rsid w:val="005A1FA7"/>
    <w:rsid w:val="005A2840"/>
    <w:rsid w:val="005A2896"/>
    <w:rsid w:val="005A2BCA"/>
    <w:rsid w:val="005A30B5"/>
    <w:rsid w:val="005A319A"/>
    <w:rsid w:val="005A396C"/>
    <w:rsid w:val="005A39B2"/>
    <w:rsid w:val="005A3D09"/>
    <w:rsid w:val="005A3E48"/>
    <w:rsid w:val="005A3F48"/>
    <w:rsid w:val="005A405E"/>
    <w:rsid w:val="005A41C4"/>
    <w:rsid w:val="005A43B0"/>
    <w:rsid w:val="005A5424"/>
    <w:rsid w:val="005A5E1F"/>
    <w:rsid w:val="005A5FA3"/>
    <w:rsid w:val="005A605D"/>
    <w:rsid w:val="005A6107"/>
    <w:rsid w:val="005A611F"/>
    <w:rsid w:val="005A6A69"/>
    <w:rsid w:val="005A6FBD"/>
    <w:rsid w:val="005A7312"/>
    <w:rsid w:val="005A7B46"/>
    <w:rsid w:val="005A7E40"/>
    <w:rsid w:val="005B05C0"/>
    <w:rsid w:val="005B0FB1"/>
    <w:rsid w:val="005B1AE6"/>
    <w:rsid w:val="005B1B8C"/>
    <w:rsid w:val="005B1DDC"/>
    <w:rsid w:val="005B1E15"/>
    <w:rsid w:val="005B2412"/>
    <w:rsid w:val="005B2A95"/>
    <w:rsid w:val="005B34CC"/>
    <w:rsid w:val="005B3863"/>
    <w:rsid w:val="005B3967"/>
    <w:rsid w:val="005B3B6B"/>
    <w:rsid w:val="005B3C0D"/>
    <w:rsid w:val="005B3CEE"/>
    <w:rsid w:val="005B3DA4"/>
    <w:rsid w:val="005B3F68"/>
    <w:rsid w:val="005B433D"/>
    <w:rsid w:val="005B447E"/>
    <w:rsid w:val="005B4915"/>
    <w:rsid w:val="005B4A0E"/>
    <w:rsid w:val="005B5056"/>
    <w:rsid w:val="005B56D0"/>
    <w:rsid w:val="005B636D"/>
    <w:rsid w:val="005B64C9"/>
    <w:rsid w:val="005B7364"/>
    <w:rsid w:val="005B73B5"/>
    <w:rsid w:val="005B748C"/>
    <w:rsid w:val="005B7C2B"/>
    <w:rsid w:val="005B7E60"/>
    <w:rsid w:val="005C03D6"/>
    <w:rsid w:val="005C09BD"/>
    <w:rsid w:val="005C17F6"/>
    <w:rsid w:val="005C1849"/>
    <w:rsid w:val="005C1CB1"/>
    <w:rsid w:val="005C1E37"/>
    <w:rsid w:val="005C1E8F"/>
    <w:rsid w:val="005C299F"/>
    <w:rsid w:val="005C2E4E"/>
    <w:rsid w:val="005C3658"/>
    <w:rsid w:val="005C3990"/>
    <w:rsid w:val="005C39AE"/>
    <w:rsid w:val="005C3B16"/>
    <w:rsid w:val="005C3B67"/>
    <w:rsid w:val="005C4D6E"/>
    <w:rsid w:val="005C5CF3"/>
    <w:rsid w:val="005C6F31"/>
    <w:rsid w:val="005C76F3"/>
    <w:rsid w:val="005D130E"/>
    <w:rsid w:val="005D1639"/>
    <w:rsid w:val="005D17D5"/>
    <w:rsid w:val="005D2477"/>
    <w:rsid w:val="005D27C3"/>
    <w:rsid w:val="005D282F"/>
    <w:rsid w:val="005D283A"/>
    <w:rsid w:val="005D29AD"/>
    <w:rsid w:val="005D3712"/>
    <w:rsid w:val="005D3740"/>
    <w:rsid w:val="005D37C0"/>
    <w:rsid w:val="005D3A14"/>
    <w:rsid w:val="005D3C67"/>
    <w:rsid w:val="005D3E42"/>
    <w:rsid w:val="005D3FA3"/>
    <w:rsid w:val="005D4099"/>
    <w:rsid w:val="005D4654"/>
    <w:rsid w:val="005D5102"/>
    <w:rsid w:val="005D56FB"/>
    <w:rsid w:val="005D5DAD"/>
    <w:rsid w:val="005D6B1E"/>
    <w:rsid w:val="005D6BC5"/>
    <w:rsid w:val="005D7CFB"/>
    <w:rsid w:val="005E0725"/>
    <w:rsid w:val="005E090F"/>
    <w:rsid w:val="005E180A"/>
    <w:rsid w:val="005E1F97"/>
    <w:rsid w:val="005E29C3"/>
    <w:rsid w:val="005E2A86"/>
    <w:rsid w:val="005E2E3C"/>
    <w:rsid w:val="005E2FA9"/>
    <w:rsid w:val="005E30EE"/>
    <w:rsid w:val="005E3416"/>
    <w:rsid w:val="005E3B30"/>
    <w:rsid w:val="005E43A8"/>
    <w:rsid w:val="005E4853"/>
    <w:rsid w:val="005E54D1"/>
    <w:rsid w:val="005E58E7"/>
    <w:rsid w:val="005E5A67"/>
    <w:rsid w:val="005E5B78"/>
    <w:rsid w:val="005E5DD2"/>
    <w:rsid w:val="005E630E"/>
    <w:rsid w:val="005E67D4"/>
    <w:rsid w:val="005E6AD2"/>
    <w:rsid w:val="005E7E6E"/>
    <w:rsid w:val="005E7F87"/>
    <w:rsid w:val="005F01E7"/>
    <w:rsid w:val="005F0855"/>
    <w:rsid w:val="005F08D9"/>
    <w:rsid w:val="005F0957"/>
    <w:rsid w:val="005F0EAE"/>
    <w:rsid w:val="005F11AC"/>
    <w:rsid w:val="005F1689"/>
    <w:rsid w:val="005F1CAF"/>
    <w:rsid w:val="005F1D49"/>
    <w:rsid w:val="005F33D8"/>
    <w:rsid w:val="005F3BC9"/>
    <w:rsid w:val="005F4333"/>
    <w:rsid w:val="005F43C3"/>
    <w:rsid w:val="005F4F7C"/>
    <w:rsid w:val="005F5814"/>
    <w:rsid w:val="005F67B6"/>
    <w:rsid w:val="005F6C87"/>
    <w:rsid w:val="005F6FF0"/>
    <w:rsid w:val="005F799E"/>
    <w:rsid w:val="00600C1C"/>
    <w:rsid w:val="00601194"/>
    <w:rsid w:val="006016DC"/>
    <w:rsid w:val="00601E4D"/>
    <w:rsid w:val="00602830"/>
    <w:rsid w:val="00603082"/>
    <w:rsid w:val="00603216"/>
    <w:rsid w:val="0060321F"/>
    <w:rsid w:val="0060322A"/>
    <w:rsid w:val="006032AF"/>
    <w:rsid w:val="00603331"/>
    <w:rsid w:val="006037FF"/>
    <w:rsid w:val="00603A25"/>
    <w:rsid w:val="00604465"/>
    <w:rsid w:val="00604A25"/>
    <w:rsid w:val="00605244"/>
    <w:rsid w:val="00605329"/>
    <w:rsid w:val="006056CC"/>
    <w:rsid w:val="00605A62"/>
    <w:rsid w:val="00605D24"/>
    <w:rsid w:val="00605F02"/>
    <w:rsid w:val="00605FB7"/>
    <w:rsid w:val="00607188"/>
    <w:rsid w:val="00607623"/>
    <w:rsid w:val="00607828"/>
    <w:rsid w:val="00610A5C"/>
    <w:rsid w:val="00610CBA"/>
    <w:rsid w:val="00611539"/>
    <w:rsid w:val="006116F3"/>
    <w:rsid w:val="00611E3F"/>
    <w:rsid w:val="0061250D"/>
    <w:rsid w:val="00612A87"/>
    <w:rsid w:val="006131F0"/>
    <w:rsid w:val="006133F5"/>
    <w:rsid w:val="00613540"/>
    <w:rsid w:val="00613919"/>
    <w:rsid w:val="00613936"/>
    <w:rsid w:val="0061434A"/>
    <w:rsid w:val="006143A2"/>
    <w:rsid w:val="00614ABE"/>
    <w:rsid w:val="00614B9B"/>
    <w:rsid w:val="00614F8B"/>
    <w:rsid w:val="006152C0"/>
    <w:rsid w:val="006152DB"/>
    <w:rsid w:val="006153ED"/>
    <w:rsid w:val="00615428"/>
    <w:rsid w:val="006156B5"/>
    <w:rsid w:val="00615A90"/>
    <w:rsid w:val="00616573"/>
    <w:rsid w:val="00616660"/>
    <w:rsid w:val="006167CC"/>
    <w:rsid w:val="006167E5"/>
    <w:rsid w:val="00616BED"/>
    <w:rsid w:val="00616F7D"/>
    <w:rsid w:val="00617080"/>
    <w:rsid w:val="00617315"/>
    <w:rsid w:val="00617347"/>
    <w:rsid w:val="00617BC6"/>
    <w:rsid w:val="00617E73"/>
    <w:rsid w:val="0062083F"/>
    <w:rsid w:val="00620BE1"/>
    <w:rsid w:val="0062228E"/>
    <w:rsid w:val="00622586"/>
    <w:rsid w:val="00622C06"/>
    <w:rsid w:val="006231A2"/>
    <w:rsid w:val="00623902"/>
    <w:rsid w:val="00623B54"/>
    <w:rsid w:val="0062418F"/>
    <w:rsid w:val="006244D6"/>
    <w:rsid w:val="00624A0E"/>
    <w:rsid w:val="00624BAE"/>
    <w:rsid w:val="006254A1"/>
    <w:rsid w:val="00625711"/>
    <w:rsid w:val="00625EF8"/>
    <w:rsid w:val="00626258"/>
    <w:rsid w:val="0062683C"/>
    <w:rsid w:val="0062699C"/>
    <w:rsid w:val="006269A8"/>
    <w:rsid w:val="00626BA8"/>
    <w:rsid w:val="00626C57"/>
    <w:rsid w:val="00626CD0"/>
    <w:rsid w:val="00626D22"/>
    <w:rsid w:val="00626EBD"/>
    <w:rsid w:val="00626EE2"/>
    <w:rsid w:val="00627187"/>
    <w:rsid w:val="00627847"/>
    <w:rsid w:val="00627CE2"/>
    <w:rsid w:val="00627F6A"/>
    <w:rsid w:val="006301E6"/>
    <w:rsid w:val="00630280"/>
    <w:rsid w:val="0063043A"/>
    <w:rsid w:val="0063152D"/>
    <w:rsid w:val="00631640"/>
    <w:rsid w:val="00631873"/>
    <w:rsid w:val="00631B05"/>
    <w:rsid w:val="00631FB1"/>
    <w:rsid w:val="00632773"/>
    <w:rsid w:val="00632A18"/>
    <w:rsid w:val="00632D33"/>
    <w:rsid w:val="00632D47"/>
    <w:rsid w:val="00634318"/>
    <w:rsid w:val="00634923"/>
    <w:rsid w:val="00634B7E"/>
    <w:rsid w:val="00634DCB"/>
    <w:rsid w:val="00634FDD"/>
    <w:rsid w:val="006350E9"/>
    <w:rsid w:val="006351B9"/>
    <w:rsid w:val="00635992"/>
    <w:rsid w:val="00635ABA"/>
    <w:rsid w:val="00635DAD"/>
    <w:rsid w:val="00635E34"/>
    <w:rsid w:val="0063658F"/>
    <w:rsid w:val="006365C7"/>
    <w:rsid w:val="00636B60"/>
    <w:rsid w:val="00636D0A"/>
    <w:rsid w:val="00636FEB"/>
    <w:rsid w:val="0063768D"/>
    <w:rsid w:val="00637B34"/>
    <w:rsid w:val="00637DB9"/>
    <w:rsid w:val="00637FD4"/>
    <w:rsid w:val="00640443"/>
    <w:rsid w:val="0064121C"/>
    <w:rsid w:val="006413E7"/>
    <w:rsid w:val="006415A8"/>
    <w:rsid w:val="006417BE"/>
    <w:rsid w:val="0064203C"/>
    <w:rsid w:val="00642E0C"/>
    <w:rsid w:val="00642E5C"/>
    <w:rsid w:val="006430A1"/>
    <w:rsid w:val="0064386B"/>
    <w:rsid w:val="0064401A"/>
    <w:rsid w:val="00644805"/>
    <w:rsid w:val="0064513A"/>
    <w:rsid w:val="006451A8"/>
    <w:rsid w:val="0064546E"/>
    <w:rsid w:val="006455C1"/>
    <w:rsid w:val="00645AB5"/>
    <w:rsid w:val="00645AFC"/>
    <w:rsid w:val="0064614C"/>
    <w:rsid w:val="0064633A"/>
    <w:rsid w:val="00646483"/>
    <w:rsid w:val="00646791"/>
    <w:rsid w:val="00646ED5"/>
    <w:rsid w:val="00647FEE"/>
    <w:rsid w:val="00650A92"/>
    <w:rsid w:val="00650C79"/>
    <w:rsid w:val="00650D17"/>
    <w:rsid w:val="00650FEB"/>
    <w:rsid w:val="0065102E"/>
    <w:rsid w:val="00651BC0"/>
    <w:rsid w:val="0065251B"/>
    <w:rsid w:val="00652A5C"/>
    <w:rsid w:val="00652EB7"/>
    <w:rsid w:val="00653125"/>
    <w:rsid w:val="00653435"/>
    <w:rsid w:val="00653599"/>
    <w:rsid w:val="00653602"/>
    <w:rsid w:val="006538AB"/>
    <w:rsid w:val="00653E10"/>
    <w:rsid w:val="006553F6"/>
    <w:rsid w:val="006555B7"/>
    <w:rsid w:val="00655892"/>
    <w:rsid w:val="00656B24"/>
    <w:rsid w:val="00656D9F"/>
    <w:rsid w:val="006571C6"/>
    <w:rsid w:val="00657A77"/>
    <w:rsid w:val="006601E1"/>
    <w:rsid w:val="006608EB"/>
    <w:rsid w:val="00660E1D"/>
    <w:rsid w:val="00661674"/>
    <w:rsid w:val="006616FC"/>
    <w:rsid w:val="00662C84"/>
    <w:rsid w:val="0066353D"/>
    <w:rsid w:val="00664249"/>
    <w:rsid w:val="00664C14"/>
    <w:rsid w:val="006658B4"/>
    <w:rsid w:val="006664EC"/>
    <w:rsid w:val="006667AC"/>
    <w:rsid w:val="006669D0"/>
    <w:rsid w:val="00666AD6"/>
    <w:rsid w:val="006673A7"/>
    <w:rsid w:val="0066762C"/>
    <w:rsid w:val="006706DF"/>
    <w:rsid w:val="00671158"/>
    <w:rsid w:val="00671457"/>
    <w:rsid w:val="00671689"/>
    <w:rsid w:val="00671F00"/>
    <w:rsid w:val="00672073"/>
    <w:rsid w:val="006721B5"/>
    <w:rsid w:val="00672338"/>
    <w:rsid w:val="006726CE"/>
    <w:rsid w:val="00673377"/>
    <w:rsid w:val="006745A7"/>
    <w:rsid w:val="00674951"/>
    <w:rsid w:val="00675B72"/>
    <w:rsid w:val="00676C25"/>
    <w:rsid w:val="00677094"/>
    <w:rsid w:val="0067712D"/>
    <w:rsid w:val="0067752B"/>
    <w:rsid w:val="00677E86"/>
    <w:rsid w:val="00680D39"/>
    <w:rsid w:val="00681165"/>
    <w:rsid w:val="006817F2"/>
    <w:rsid w:val="0068183A"/>
    <w:rsid w:val="006819F7"/>
    <w:rsid w:val="00681A81"/>
    <w:rsid w:val="00682F1A"/>
    <w:rsid w:val="006835EF"/>
    <w:rsid w:val="00683D2A"/>
    <w:rsid w:val="00684523"/>
    <w:rsid w:val="006854AC"/>
    <w:rsid w:val="00685C82"/>
    <w:rsid w:val="006864FD"/>
    <w:rsid w:val="00686981"/>
    <w:rsid w:val="00687541"/>
    <w:rsid w:val="006879F5"/>
    <w:rsid w:val="00687BA1"/>
    <w:rsid w:val="00690653"/>
    <w:rsid w:val="006910B4"/>
    <w:rsid w:val="0069130C"/>
    <w:rsid w:val="0069162C"/>
    <w:rsid w:val="00691813"/>
    <w:rsid w:val="00691B5B"/>
    <w:rsid w:val="00691C74"/>
    <w:rsid w:val="00691D6E"/>
    <w:rsid w:val="00691E9F"/>
    <w:rsid w:val="00691F5F"/>
    <w:rsid w:val="0069232D"/>
    <w:rsid w:val="006923A7"/>
    <w:rsid w:val="0069265D"/>
    <w:rsid w:val="00692F4B"/>
    <w:rsid w:val="00692F55"/>
    <w:rsid w:val="00693296"/>
    <w:rsid w:val="00693353"/>
    <w:rsid w:val="00694155"/>
    <w:rsid w:val="006941EE"/>
    <w:rsid w:val="00694864"/>
    <w:rsid w:val="00695744"/>
    <w:rsid w:val="00695C08"/>
    <w:rsid w:val="00695C24"/>
    <w:rsid w:val="00696444"/>
    <w:rsid w:val="00696E61"/>
    <w:rsid w:val="00697607"/>
    <w:rsid w:val="006979AF"/>
    <w:rsid w:val="006979F0"/>
    <w:rsid w:val="00697D6E"/>
    <w:rsid w:val="006A0BAA"/>
    <w:rsid w:val="006A0BED"/>
    <w:rsid w:val="006A0CEB"/>
    <w:rsid w:val="006A16B2"/>
    <w:rsid w:val="006A1ABE"/>
    <w:rsid w:val="006A1BCE"/>
    <w:rsid w:val="006A1C92"/>
    <w:rsid w:val="006A1F81"/>
    <w:rsid w:val="006A22FC"/>
    <w:rsid w:val="006A2395"/>
    <w:rsid w:val="006A25BA"/>
    <w:rsid w:val="006A376A"/>
    <w:rsid w:val="006A3809"/>
    <w:rsid w:val="006A4070"/>
    <w:rsid w:val="006A485B"/>
    <w:rsid w:val="006A4C07"/>
    <w:rsid w:val="006A4CE9"/>
    <w:rsid w:val="006A4E12"/>
    <w:rsid w:val="006A68B3"/>
    <w:rsid w:val="006A6A8E"/>
    <w:rsid w:val="006A724B"/>
    <w:rsid w:val="006A7269"/>
    <w:rsid w:val="006B01B7"/>
    <w:rsid w:val="006B0A87"/>
    <w:rsid w:val="006B0F90"/>
    <w:rsid w:val="006B0FC8"/>
    <w:rsid w:val="006B1A27"/>
    <w:rsid w:val="006B20EF"/>
    <w:rsid w:val="006B22B7"/>
    <w:rsid w:val="006B26D6"/>
    <w:rsid w:val="006B2A38"/>
    <w:rsid w:val="006B2C41"/>
    <w:rsid w:val="006B2C54"/>
    <w:rsid w:val="006B2EEB"/>
    <w:rsid w:val="006B3300"/>
    <w:rsid w:val="006B3312"/>
    <w:rsid w:val="006B38FA"/>
    <w:rsid w:val="006B3C47"/>
    <w:rsid w:val="006B3DA7"/>
    <w:rsid w:val="006B3F72"/>
    <w:rsid w:val="006B3F9A"/>
    <w:rsid w:val="006B5942"/>
    <w:rsid w:val="006B614D"/>
    <w:rsid w:val="006B621F"/>
    <w:rsid w:val="006C051E"/>
    <w:rsid w:val="006C0EC2"/>
    <w:rsid w:val="006C12A2"/>
    <w:rsid w:val="006C162E"/>
    <w:rsid w:val="006C235E"/>
    <w:rsid w:val="006C2844"/>
    <w:rsid w:val="006C2AD3"/>
    <w:rsid w:val="006C30AE"/>
    <w:rsid w:val="006C3323"/>
    <w:rsid w:val="006C3E58"/>
    <w:rsid w:val="006C3FE3"/>
    <w:rsid w:val="006C416D"/>
    <w:rsid w:val="006C42E2"/>
    <w:rsid w:val="006C44D7"/>
    <w:rsid w:val="006C450D"/>
    <w:rsid w:val="006C4883"/>
    <w:rsid w:val="006C55DC"/>
    <w:rsid w:val="006C582D"/>
    <w:rsid w:val="006C5A83"/>
    <w:rsid w:val="006C5D53"/>
    <w:rsid w:val="006C5DE4"/>
    <w:rsid w:val="006C5F06"/>
    <w:rsid w:val="006C6F38"/>
    <w:rsid w:val="006C6FC8"/>
    <w:rsid w:val="006C7038"/>
    <w:rsid w:val="006C706F"/>
    <w:rsid w:val="006C781C"/>
    <w:rsid w:val="006C7A52"/>
    <w:rsid w:val="006C7A92"/>
    <w:rsid w:val="006D0202"/>
    <w:rsid w:val="006D04D2"/>
    <w:rsid w:val="006D06DF"/>
    <w:rsid w:val="006D0EB1"/>
    <w:rsid w:val="006D105C"/>
    <w:rsid w:val="006D1398"/>
    <w:rsid w:val="006D1569"/>
    <w:rsid w:val="006D1AB8"/>
    <w:rsid w:val="006D1DEA"/>
    <w:rsid w:val="006D205F"/>
    <w:rsid w:val="006D2C35"/>
    <w:rsid w:val="006D2FFF"/>
    <w:rsid w:val="006D3029"/>
    <w:rsid w:val="006D334C"/>
    <w:rsid w:val="006D3631"/>
    <w:rsid w:val="006D39F4"/>
    <w:rsid w:val="006D3A39"/>
    <w:rsid w:val="006D3CEA"/>
    <w:rsid w:val="006D4282"/>
    <w:rsid w:val="006D4A18"/>
    <w:rsid w:val="006D4F37"/>
    <w:rsid w:val="006D504B"/>
    <w:rsid w:val="006D53C0"/>
    <w:rsid w:val="006D57FC"/>
    <w:rsid w:val="006D60D4"/>
    <w:rsid w:val="006D7076"/>
    <w:rsid w:val="006D7396"/>
    <w:rsid w:val="006D7627"/>
    <w:rsid w:val="006D7695"/>
    <w:rsid w:val="006D77FE"/>
    <w:rsid w:val="006D791E"/>
    <w:rsid w:val="006D7B44"/>
    <w:rsid w:val="006E08EA"/>
    <w:rsid w:val="006E1732"/>
    <w:rsid w:val="006E17E5"/>
    <w:rsid w:val="006E1909"/>
    <w:rsid w:val="006E23EB"/>
    <w:rsid w:val="006E27A2"/>
    <w:rsid w:val="006E2908"/>
    <w:rsid w:val="006E2965"/>
    <w:rsid w:val="006E2FFA"/>
    <w:rsid w:val="006E323F"/>
    <w:rsid w:val="006E36A5"/>
    <w:rsid w:val="006E3E46"/>
    <w:rsid w:val="006E3ECB"/>
    <w:rsid w:val="006E4419"/>
    <w:rsid w:val="006E4C57"/>
    <w:rsid w:val="006E5EC0"/>
    <w:rsid w:val="006E6010"/>
    <w:rsid w:val="006E63C7"/>
    <w:rsid w:val="006E6426"/>
    <w:rsid w:val="006E65F6"/>
    <w:rsid w:val="006E6674"/>
    <w:rsid w:val="006E67B3"/>
    <w:rsid w:val="006E7387"/>
    <w:rsid w:val="006E7998"/>
    <w:rsid w:val="006E7A2A"/>
    <w:rsid w:val="006E7CB5"/>
    <w:rsid w:val="006E7D88"/>
    <w:rsid w:val="006F01E0"/>
    <w:rsid w:val="006F0705"/>
    <w:rsid w:val="006F1239"/>
    <w:rsid w:val="006F2894"/>
    <w:rsid w:val="006F2993"/>
    <w:rsid w:val="006F2B72"/>
    <w:rsid w:val="006F2E9F"/>
    <w:rsid w:val="006F35DB"/>
    <w:rsid w:val="006F5EC5"/>
    <w:rsid w:val="006F6228"/>
    <w:rsid w:val="006F6F6E"/>
    <w:rsid w:val="006F7054"/>
    <w:rsid w:val="006F7167"/>
    <w:rsid w:val="0070053D"/>
    <w:rsid w:val="007005FC"/>
    <w:rsid w:val="00700944"/>
    <w:rsid w:val="007009A0"/>
    <w:rsid w:val="00700AA1"/>
    <w:rsid w:val="00700BF0"/>
    <w:rsid w:val="0070124A"/>
    <w:rsid w:val="00701859"/>
    <w:rsid w:val="00702161"/>
    <w:rsid w:val="00702245"/>
    <w:rsid w:val="00702A70"/>
    <w:rsid w:val="00702EC8"/>
    <w:rsid w:val="00703805"/>
    <w:rsid w:val="00703D66"/>
    <w:rsid w:val="0070415E"/>
    <w:rsid w:val="007043C2"/>
    <w:rsid w:val="007045F7"/>
    <w:rsid w:val="0070591A"/>
    <w:rsid w:val="007060CD"/>
    <w:rsid w:val="00706547"/>
    <w:rsid w:val="00710341"/>
    <w:rsid w:val="00710FCC"/>
    <w:rsid w:val="00711457"/>
    <w:rsid w:val="00712174"/>
    <w:rsid w:val="007127D7"/>
    <w:rsid w:val="0071318A"/>
    <w:rsid w:val="007142E1"/>
    <w:rsid w:val="007146D5"/>
    <w:rsid w:val="007156B6"/>
    <w:rsid w:val="0071576C"/>
    <w:rsid w:val="00715B8A"/>
    <w:rsid w:val="00716C1A"/>
    <w:rsid w:val="00716CAA"/>
    <w:rsid w:val="00716DEA"/>
    <w:rsid w:val="00716E8B"/>
    <w:rsid w:val="00717585"/>
    <w:rsid w:val="00717710"/>
    <w:rsid w:val="00717CFC"/>
    <w:rsid w:val="007210F8"/>
    <w:rsid w:val="00721228"/>
    <w:rsid w:val="0072140D"/>
    <w:rsid w:val="00721417"/>
    <w:rsid w:val="00721811"/>
    <w:rsid w:val="00721B0E"/>
    <w:rsid w:val="00721D3B"/>
    <w:rsid w:val="00721F80"/>
    <w:rsid w:val="0072206E"/>
    <w:rsid w:val="007220C0"/>
    <w:rsid w:val="0072240C"/>
    <w:rsid w:val="00722BB3"/>
    <w:rsid w:val="007244E6"/>
    <w:rsid w:val="0072465D"/>
    <w:rsid w:val="007246D3"/>
    <w:rsid w:val="007248A6"/>
    <w:rsid w:val="00724A48"/>
    <w:rsid w:val="00725A57"/>
    <w:rsid w:val="00725D88"/>
    <w:rsid w:val="00726026"/>
    <w:rsid w:val="00726C83"/>
    <w:rsid w:val="00726F9F"/>
    <w:rsid w:val="00727468"/>
    <w:rsid w:val="00727DA5"/>
    <w:rsid w:val="007303F9"/>
    <w:rsid w:val="007315FF"/>
    <w:rsid w:val="00731A99"/>
    <w:rsid w:val="00731BDF"/>
    <w:rsid w:val="007321E3"/>
    <w:rsid w:val="00732283"/>
    <w:rsid w:val="00732629"/>
    <w:rsid w:val="00732A72"/>
    <w:rsid w:val="00732B43"/>
    <w:rsid w:val="00732FA5"/>
    <w:rsid w:val="0073344E"/>
    <w:rsid w:val="00733719"/>
    <w:rsid w:val="00733E04"/>
    <w:rsid w:val="00734064"/>
    <w:rsid w:val="007349BA"/>
    <w:rsid w:val="007349DF"/>
    <w:rsid w:val="0073575A"/>
    <w:rsid w:val="00735DBD"/>
    <w:rsid w:val="00737243"/>
    <w:rsid w:val="00737695"/>
    <w:rsid w:val="00737CF7"/>
    <w:rsid w:val="007407DB"/>
    <w:rsid w:val="00740E08"/>
    <w:rsid w:val="007411BB"/>
    <w:rsid w:val="0074180B"/>
    <w:rsid w:val="00741AEE"/>
    <w:rsid w:val="00742303"/>
    <w:rsid w:val="00742F11"/>
    <w:rsid w:val="00744229"/>
    <w:rsid w:val="0074489B"/>
    <w:rsid w:val="00744C02"/>
    <w:rsid w:val="00744CB2"/>
    <w:rsid w:val="00745A84"/>
    <w:rsid w:val="00746D22"/>
    <w:rsid w:val="00746E4E"/>
    <w:rsid w:val="00746FF7"/>
    <w:rsid w:val="007502C1"/>
    <w:rsid w:val="00750578"/>
    <w:rsid w:val="00750C0A"/>
    <w:rsid w:val="00750E7C"/>
    <w:rsid w:val="00751493"/>
    <w:rsid w:val="007517EE"/>
    <w:rsid w:val="00751A42"/>
    <w:rsid w:val="00751C63"/>
    <w:rsid w:val="00751FA5"/>
    <w:rsid w:val="007521AA"/>
    <w:rsid w:val="00752581"/>
    <w:rsid w:val="00752593"/>
    <w:rsid w:val="0075287D"/>
    <w:rsid w:val="00752DE7"/>
    <w:rsid w:val="00752E90"/>
    <w:rsid w:val="007532C6"/>
    <w:rsid w:val="00753A35"/>
    <w:rsid w:val="00754617"/>
    <w:rsid w:val="00754633"/>
    <w:rsid w:val="0075475B"/>
    <w:rsid w:val="00754E0C"/>
    <w:rsid w:val="00754E91"/>
    <w:rsid w:val="00755DD7"/>
    <w:rsid w:val="00756273"/>
    <w:rsid w:val="00756DD7"/>
    <w:rsid w:val="007577C7"/>
    <w:rsid w:val="00757F21"/>
    <w:rsid w:val="00757F4F"/>
    <w:rsid w:val="0076035D"/>
    <w:rsid w:val="00760478"/>
    <w:rsid w:val="00761E68"/>
    <w:rsid w:val="00762110"/>
    <w:rsid w:val="00762CC2"/>
    <w:rsid w:val="0076312C"/>
    <w:rsid w:val="00763484"/>
    <w:rsid w:val="00763685"/>
    <w:rsid w:val="00763977"/>
    <w:rsid w:val="0076436C"/>
    <w:rsid w:val="00764543"/>
    <w:rsid w:val="007645E7"/>
    <w:rsid w:val="00764748"/>
    <w:rsid w:val="00764FD3"/>
    <w:rsid w:val="0076509D"/>
    <w:rsid w:val="007652A9"/>
    <w:rsid w:val="007655E9"/>
    <w:rsid w:val="00765829"/>
    <w:rsid w:val="00765CCA"/>
    <w:rsid w:val="00765DC0"/>
    <w:rsid w:val="00766A3B"/>
    <w:rsid w:val="007670E5"/>
    <w:rsid w:val="007677C8"/>
    <w:rsid w:val="00770260"/>
    <w:rsid w:val="00770546"/>
    <w:rsid w:val="0077091B"/>
    <w:rsid w:val="007709E9"/>
    <w:rsid w:val="00770C8F"/>
    <w:rsid w:val="00771501"/>
    <w:rsid w:val="007719AD"/>
    <w:rsid w:val="00771B49"/>
    <w:rsid w:val="00771BDF"/>
    <w:rsid w:val="00771D0F"/>
    <w:rsid w:val="00771D2C"/>
    <w:rsid w:val="007730B7"/>
    <w:rsid w:val="00774297"/>
    <w:rsid w:val="0077465F"/>
    <w:rsid w:val="00774C03"/>
    <w:rsid w:val="007752FA"/>
    <w:rsid w:val="00775326"/>
    <w:rsid w:val="007756BF"/>
    <w:rsid w:val="007758E6"/>
    <w:rsid w:val="00775B54"/>
    <w:rsid w:val="00777056"/>
    <w:rsid w:val="007774E9"/>
    <w:rsid w:val="00777755"/>
    <w:rsid w:val="007777CA"/>
    <w:rsid w:val="00777A09"/>
    <w:rsid w:val="00777B63"/>
    <w:rsid w:val="00777D41"/>
    <w:rsid w:val="00777DC7"/>
    <w:rsid w:val="00777EC7"/>
    <w:rsid w:val="00780119"/>
    <w:rsid w:val="00780375"/>
    <w:rsid w:val="007806E4"/>
    <w:rsid w:val="007809AA"/>
    <w:rsid w:val="00780D64"/>
    <w:rsid w:val="007811E6"/>
    <w:rsid w:val="00781424"/>
    <w:rsid w:val="0078152C"/>
    <w:rsid w:val="00781710"/>
    <w:rsid w:val="007818DE"/>
    <w:rsid w:val="00781C28"/>
    <w:rsid w:val="00781CB7"/>
    <w:rsid w:val="00781F22"/>
    <w:rsid w:val="00781F56"/>
    <w:rsid w:val="00781FC3"/>
    <w:rsid w:val="007828B2"/>
    <w:rsid w:val="00782D41"/>
    <w:rsid w:val="00782E10"/>
    <w:rsid w:val="0078304D"/>
    <w:rsid w:val="007830C0"/>
    <w:rsid w:val="007831B4"/>
    <w:rsid w:val="00783721"/>
    <w:rsid w:val="00783B78"/>
    <w:rsid w:val="00784215"/>
    <w:rsid w:val="00784294"/>
    <w:rsid w:val="00784463"/>
    <w:rsid w:val="0078468A"/>
    <w:rsid w:val="007852DB"/>
    <w:rsid w:val="00785332"/>
    <w:rsid w:val="00785F93"/>
    <w:rsid w:val="007867C7"/>
    <w:rsid w:val="00786C9A"/>
    <w:rsid w:val="00786DEB"/>
    <w:rsid w:val="00787379"/>
    <w:rsid w:val="007874F4"/>
    <w:rsid w:val="0078798A"/>
    <w:rsid w:val="00787B23"/>
    <w:rsid w:val="007904D2"/>
    <w:rsid w:val="007918D0"/>
    <w:rsid w:val="00791B7C"/>
    <w:rsid w:val="0079228B"/>
    <w:rsid w:val="00793091"/>
    <w:rsid w:val="007935B3"/>
    <w:rsid w:val="007935EA"/>
    <w:rsid w:val="00793782"/>
    <w:rsid w:val="0079386F"/>
    <w:rsid w:val="00793E3B"/>
    <w:rsid w:val="00794157"/>
    <w:rsid w:val="007944BC"/>
    <w:rsid w:val="00794E66"/>
    <w:rsid w:val="00794E7D"/>
    <w:rsid w:val="00795349"/>
    <w:rsid w:val="0079588D"/>
    <w:rsid w:val="00795B88"/>
    <w:rsid w:val="00795CC0"/>
    <w:rsid w:val="007963D9"/>
    <w:rsid w:val="0079642F"/>
    <w:rsid w:val="0079643B"/>
    <w:rsid w:val="007967BB"/>
    <w:rsid w:val="007971B2"/>
    <w:rsid w:val="0079755A"/>
    <w:rsid w:val="007977EE"/>
    <w:rsid w:val="00797D62"/>
    <w:rsid w:val="00797DCE"/>
    <w:rsid w:val="007A007D"/>
    <w:rsid w:val="007A0C39"/>
    <w:rsid w:val="007A202A"/>
    <w:rsid w:val="007A21C5"/>
    <w:rsid w:val="007A23CD"/>
    <w:rsid w:val="007A23FF"/>
    <w:rsid w:val="007A2FBB"/>
    <w:rsid w:val="007A3B85"/>
    <w:rsid w:val="007A4001"/>
    <w:rsid w:val="007A4A2D"/>
    <w:rsid w:val="007A5458"/>
    <w:rsid w:val="007A57D7"/>
    <w:rsid w:val="007A5F06"/>
    <w:rsid w:val="007A5FFD"/>
    <w:rsid w:val="007A63A4"/>
    <w:rsid w:val="007A64D4"/>
    <w:rsid w:val="007A743F"/>
    <w:rsid w:val="007A780C"/>
    <w:rsid w:val="007A7B4C"/>
    <w:rsid w:val="007B05DA"/>
    <w:rsid w:val="007B09A8"/>
    <w:rsid w:val="007B0CE7"/>
    <w:rsid w:val="007B15C1"/>
    <w:rsid w:val="007B227A"/>
    <w:rsid w:val="007B263B"/>
    <w:rsid w:val="007B284B"/>
    <w:rsid w:val="007B2DF5"/>
    <w:rsid w:val="007B2E61"/>
    <w:rsid w:val="007B3BDD"/>
    <w:rsid w:val="007B4640"/>
    <w:rsid w:val="007B4891"/>
    <w:rsid w:val="007B57B8"/>
    <w:rsid w:val="007B6A33"/>
    <w:rsid w:val="007B6B45"/>
    <w:rsid w:val="007B7922"/>
    <w:rsid w:val="007B79EC"/>
    <w:rsid w:val="007B7D3F"/>
    <w:rsid w:val="007C0036"/>
    <w:rsid w:val="007C0843"/>
    <w:rsid w:val="007C0969"/>
    <w:rsid w:val="007C0A0B"/>
    <w:rsid w:val="007C1635"/>
    <w:rsid w:val="007C1D52"/>
    <w:rsid w:val="007C2907"/>
    <w:rsid w:val="007C2AB4"/>
    <w:rsid w:val="007C2BF2"/>
    <w:rsid w:val="007C2DBE"/>
    <w:rsid w:val="007C2E93"/>
    <w:rsid w:val="007C31FB"/>
    <w:rsid w:val="007C33A8"/>
    <w:rsid w:val="007C35DE"/>
    <w:rsid w:val="007C3DF6"/>
    <w:rsid w:val="007C41C8"/>
    <w:rsid w:val="007C42E7"/>
    <w:rsid w:val="007C50DF"/>
    <w:rsid w:val="007C51C8"/>
    <w:rsid w:val="007C521B"/>
    <w:rsid w:val="007C56C8"/>
    <w:rsid w:val="007C62F2"/>
    <w:rsid w:val="007C642D"/>
    <w:rsid w:val="007C6931"/>
    <w:rsid w:val="007C72BC"/>
    <w:rsid w:val="007C7A39"/>
    <w:rsid w:val="007C7E20"/>
    <w:rsid w:val="007D007C"/>
    <w:rsid w:val="007D023B"/>
    <w:rsid w:val="007D04E5"/>
    <w:rsid w:val="007D0F72"/>
    <w:rsid w:val="007D0FFE"/>
    <w:rsid w:val="007D1153"/>
    <w:rsid w:val="007D19DB"/>
    <w:rsid w:val="007D2585"/>
    <w:rsid w:val="007D330C"/>
    <w:rsid w:val="007D3507"/>
    <w:rsid w:val="007D36CA"/>
    <w:rsid w:val="007D37C3"/>
    <w:rsid w:val="007D3858"/>
    <w:rsid w:val="007D4933"/>
    <w:rsid w:val="007D4990"/>
    <w:rsid w:val="007D4D03"/>
    <w:rsid w:val="007D4D66"/>
    <w:rsid w:val="007D54D9"/>
    <w:rsid w:val="007D58A8"/>
    <w:rsid w:val="007D6905"/>
    <w:rsid w:val="007D6D2A"/>
    <w:rsid w:val="007D6F6B"/>
    <w:rsid w:val="007D74FC"/>
    <w:rsid w:val="007D75B6"/>
    <w:rsid w:val="007D77A1"/>
    <w:rsid w:val="007E01C5"/>
    <w:rsid w:val="007E0D5A"/>
    <w:rsid w:val="007E0EF5"/>
    <w:rsid w:val="007E1437"/>
    <w:rsid w:val="007E1B7F"/>
    <w:rsid w:val="007E1E8E"/>
    <w:rsid w:val="007E263F"/>
    <w:rsid w:val="007E2C5F"/>
    <w:rsid w:val="007E3187"/>
    <w:rsid w:val="007E402F"/>
    <w:rsid w:val="007E4726"/>
    <w:rsid w:val="007E4B80"/>
    <w:rsid w:val="007E4FBC"/>
    <w:rsid w:val="007E5155"/>
    <w:rsid w:val="007E5804"/>
    <w:rsid w:val="007E5999"/>
    <w:rsid w:val="007E5A40"/>
    <w:rsid w:val="007E6130"/>
    <w:rsid w:val="007E65FA"/>
    <w:rsid w:val="007E75CA"/>
    <w:rsid w:val="007E7635"/>
    <w:rsid w:val="007E78EE"/>
    <w:rsid w:val="007E7C7C"/>
    <w:rsid w:val="007E7CA5"/>
    <w:rsid w:val="007E7CB2"/>
    <w:rsid w:val="007F01B5"/>
    <w:rsid w:val="007F025F"/>
    <w:rsid w:val="007F08F9"/>
    <w:rsid w:val="007F0BA4"/>
    <w:rsid w:val="007F0EB2"/>
    <w:rsid w:val="007F18C2"/>
    <w:rsid w:val="007F25BF"/>
    <w:rsid w:val="007F27EF"/>
    <w:rsid w:val="007F2E22"/>
    <w:rsid w:val="007F2F34"/>
    <w:rsid w:val="007F3035"/>
    <w:rsid w:val="007F3706"/>
    <w:rsid w:val="007F38FB"/>
    <w:rsid w:val="007F3FEE"/>
    <w:rsid w:val="007F4474"/>
    <w:rsid w:val="007F48AB"/>
    <w:rsid w:val="007F48C0"/>
    <w:rsid w:val="007F4C82"/>
    <w:rsid w:val="007F4F45"/>
    <w:rsid w:val="007F4FA5"/>
    <w:rsid w:val="007F504F"/>
    <w:rsid w:val="007F52B0"/>
    <w:rsid w:val="007F5567"/>
    <w:rsid w:val="007F5963"/>
    <w:rsid w:val="007F5B01"/>
    <w:rsid w:val="007F5E03"/>
    <w:rsid w:val="007F6034"/>
    <w:rsid w:val="007F62C4"/>
    <w:rsid w:val="007F6D38"/>
    <w:rsid w:val="007F6D8F"/>
    <w:rsid w:val="007F74CE"/>
    <w:rsid w:val="007F76A0"/>
    <w:rsid w:val="007F76F6"/>
    <w:rsid w:val="007F7E3E"/>
    <w:rsid w:val="007F7E64"/>
    <w:rsid w:val="008003A2"/>
    <w:rsid w:val="008009DD"/>
    <w:rsid w:val="00800B54"/>
    <w:rsid w:val="00801439"/>
    <w:rsid w:val="00801443"/>
    <w:rsid w:val="00801478"/>
    <w:rsid w:val="008016EE"/>
    <w:rsid w:val="0080177F"/>
    <w:rsid w:val="0080180B"/>
    <w:rsid w:val="00801832"/>
    <w:rsid w:val="00801AF5"/>
    <w:rsid w:val="00801BD6"/>
    <w:rsid w:val="00801D98"/>
    <w:rsid w:val="00802134"/>
    <w:rsid w:val="008021E3"/>
    <w:rsid w:val="00803081"/>
    <w:rsid w:val="0080368E"/>
    <w:rsid w:val="008037DC"/>
    <w:rsid w:val="008038E2"/>
    <w:rsid w:val="00803B35"/>
    <w:rsid w:val="00803ED8"/>
    <w:rsid w:val="00803EFB"/>
    <w:rsid w:val="00804334"/>
    <w:rsid w:val="00804552"/>
    <w:rsid w:val="00804C32"/>
    <w:rsid w:val="0080559E"/>
    <w:rsid w:val="0080588B"/>
    <w:rsid w:val="00805B70"/>
    <w:rsid w:val="00805CFF"/>
    <w:rsid w:val="00806158"/>
    <w:rsid w:val="008063D8"/>
    <w:rsid w:val="0080654F"/>
    <w:rsid w:val="00806AA6"/>
    <w:rsid w:val="00807EC8"/>
    <w:rsid w:val="008107D5"/>
    <w:rsid w:val="00811250"/>
    <w:rsid w:val="00811B73"/>
    <w:rsid w:val="00811EFA"/>
    <w:rsid w:val="0081217C"/>
    <w:rsid w:val="00812568"/>
    <w:rsid w:val="00812A03"/>
    <w:rsid w:val="00812F52"/>
    <w:rsid w:val="0081465D"/>
    <w:rsid w:val="00815310"/>
    <w:rsid w:val="0081549F"/>
    <w:rsid w:val="00816805"/>
    <w:rsid w:val="0081723A"/>
    <w:rsid w:val="0081734D"/>
    <w:rsid w:val="008173FB"/>
    <w:rsid w:val="00817769"/>
    <w:rsid w:val="008179EC"/>
    <w:rsid w:val="00817AD3"/>
    <w:rsid w:val="00817CD4"/>
    <w:rsid w:val="0082001E"/>
    <w:rsid w:val="00820528"/>
    <w:rsid w:val="00820838"/>
    <w:rsid w:val="00820865"/>
    <w:rsid w:val="00820BEC"/>
    <w:rsid w:val="00820C6B"/>
    <w:rsid w:val="008212C7"/>
    <w:rsid w:val="00821B15"/>
    <w:rsid w:val="00821E3C"/>
    <w:rsid w:val="00822209"/>
    <w:rsid w:val="0082294F"/>
    <w:rsid w:val="008229A5"/>
    <w:rsid w:val="0082317B"/>
    <w:rsid w:val="00823FD8"/>
    <w:rsid w:val="00824707"/>
    <w:rsid w:val="008248FA"/>
    <w:rsid w:val="00824BB6"/>
    <w:rsid w:val="00825581"/>
    <w:rsid w:val="00825C01"/>
    <w:rsid w:val="00825DD7"/>
    <w:rsid w:val="008261BF"/>
    <w:rsid w:val="008261DA"/>
    <w:rsid w:val="00827057"/>
    <w:rsid w:val="00827921"/>
    <w:rsid w:val="00827AA8"/>
    <w:rsid w:val="00827FF1"/>
    <w:rsid w:val="008308DC"/>
    <w:rsid w:val="00830AD0"/>
    <w:rsid w:val="0083141C"/>
    <w:rsid w:val="00831889"/>
    <w:rsid w:val="00831B52"/>
    <w:rsid w:val="00831BB2"/>
    <w:rsid w:val="0083203C"/>
    <w:rsid w:val="008325AC"/>
    <w:rsid w:val="0083270A"/>
    <w:rsid w:val="0083274E"/>
    <w:rsid w:val="008333AC"/>
    <w:rsid w:val="008335F3"/>
    <w:rsid w:val="0083364E"/>
    <w:rsid w:val="00834278"/>
    <w:rsid w:val="0083449D"/>
    <w:rsid w:val="0083484C"/>
    <w:rsid w:val="00834CCB"/>
    <w:rsid w:val="00834DC2"/>
    <w:rsid w:val="008351D6"/>
    <w:rsid w:val="00835624"/>
    <w:rsid w:val="00837120"/>
    <w:rsid w:val="00837871"/>
    <w:rsid w:val="00837C39"/>
    <w:rsid w:val="00837DE1"/>
    <w:rsid w:val="00837E4B"/>
    <w:rsid w:val="00837FDC"/>
    <w:rsid w:val="008402FD"/>
    <w:rsid w:val="008404DD"/>
    <w:rsid w:val="008417F1"/>
    <w:rsid w:val="008419F0"/>
    <w:rsid w:val="00841E8D"/>
    <w:rsid w:val="008429F1"/>
    <w:rsid w:val="00843720"/>
    <w:rsid w:val="00844609"/>
    <w:rsid w:val="00844725"/>
    <w:rsid w:val="00845D2F"/>
    <w:rsid w:val="00845DBB"/>
    <w:rsid w:val="00845E5D"/>
    <w:rsid w:val="0084615E"/>
    <w:rsid w:val="008462ED"/>
    <w:rsid w:val="008465A7"/>
    <w:rsid w:val="008466A4"/>
    <w:rsid w:val="00846929"/>
    <w:rsid w:val="008469B4"/>
    <w:rsid w:val="00846CA4"/>
    <w:rsid w:val="00846E98"/>
    <w:rsid w:val="00847016"/>
    <w:rsid w:val="00847500"/>
    <w:rsid w:val="0084757B"/>
    <w:rsid w:val="00847763"/>
    <w:rsid w:val="0085067F"/>
    <w:rsid w:val="00850E6B"/>
    <w:rsid w:val="008512FD"/>
    <w:rsid w:val="00851635"/>
    <w:rsid w:val="00851D2D"/>
    <w:rsid w:val="00852E65"/>
    <w:rsid w:val="00852F21"/>
    <w:rsid w:val="0085302E"/>
    <w:rsid w:val="00853823"/>
    <w:rsid w:val="00853C61"/>
    <w:rsid w:val="00854015"/>
    <w:rsid w:val="008543F9"/>
    <w:rsid w:val="00854637"/>
    <w:rsid w:val="00854799"/>
    <w:rsid w:val="008554BF"/>
    <w:rsid w:val="008554DC"/>
    <w:rsid w:val="008556BB"/>
    <w:rsid w:val="00855B1C"/>
    <w:rsid w:val="008568D3"/>
    <w:rsid w:val="008576F3"/>
    <w:rsid w:val="00857DD1"/>
    <w:rsid w:val="00857E25"/>
    <w:rsid w:val="00860098"/>
    <w:rsid w:val="00860446"/>
    <w:rsid w:val="00860DDD"/>
    <w:rsid w:val="008613B7"/>
    <w:rsid w:val="008614BB"/>
    <w:rsid w:val="008617E2"/>
    <w:rsid w:val="00861B75"/>
    <w:rsid w:val="0086218E"/>
    <w:rsid w:val="00862D9F"/>
    <w:rsid w:val="0086308B"/>
    <w:rsid w:val="00863465"/>
    <w:rsid w:val="00863CE7"/>
    <w:rsid w:val="00863DE1"/>
    <w:rsid w:val="00863EED"/>
    <w:rsid w:val="00863FCE"/>
    <w:rsid w:val="0086432D"/>
    <w:rsid w:val="00864DAE"/>
    <w:rsid w:val="00864E27"/>
    <w:rsid w:val="00864E6C"/>
    <w:rsid w:val="00864FAC"/>
    <w:rsid w:val="008657AE"/>
    <w:rsid w:val="00865A7F"/>
    <w:rsid w:val="008663E7"/>
    <w:rsid w:val="00866A37"/>
    <w:rsid w:val="00866B87"/>
    <w:rsid w:val="008673DE"/>
    <w:rsid w:val="00867567"/>
    <w:rsid w:val="00867652"/>
    <w:rsid w:val="00867902"/>
    <w:rsid w:val="00870314"/>
    <w:rsid w:val="00871CC8"/>
    <w:rsid w:val="008725F1"/>
    <w:rsid w:val="008729F1"/>
    <w:rsid w:val="00872ABB"/>
    <w:rsid w:val="00872CD3"/>
    <w:rsid w:val="00872E16"/>
    <w:rsid w:val="00873E0C"/>
    <w:rsid w:val="0087422D"/>
    <w:rsid w:val="008746AD"/>
    <w:rsid w:val="0087475A"/>
    <w:rsid w:val="00874954"/>
    <w:rsid w:val="00874AD0"/>
    <w:rsid w:val="00874C47"/>
    <w:rsid w:val="00874F8F"/>
    <w:rsid w:val="008753A3"/>
    <w:rsid w:val="00875731"/>
    <w:rsid w:val="008759BF"/>
    <w:rsid w:val="00875E66"/>
    <w:rsid w:val="008760FA"/>
    <w:rsid w:val="00876B62"/>
    <w:rsid w:val="00876C48"/>
    <w:rsid w:val="008773B9"/>
    <w:rsid w:val="0087754C"/>
    <w:rsid w:val="00877FD3"/>
    <w:rsid w:val="0088068B"/>
    <w:rsid w:val="008808DD"/>
    <w:rsid w:val="00880974"/>
    <w:rsid w:val="00880B31"/>
    <w:rsid w:val="00880C45"/>
    <w:rsid w:val="00880DB2"/>
    <w:rsid w:val="0088116F"/>
    <w:rsid w:val="00881450"/>
    <w:rsid w:val="00881DB9"/>
    <w:rsid w:val="00881FBF"/>
    <w:rsid w:val="008824B7"/>
    <w:rsid w:val="00882AAC"/>
    <w:rsid w:val="00882F5A"/>
    <w:rsid w:val="00882FB5"/>
    <w:rsid w:val="00883306"/>
    <w:rsid w:val="00883680"/>
    <w:rsid w:val="008836A3"/>
    <w:rsid w:val="008836EA"/>
    <w:rsid w:val="00883A78"/>
    <w:rsid w:val="00883BB6"/>
    <w:rsid w:val="00884377"/>
    <w:rsid w:val="00884384"/>
    <w:rsid w:val="008844F9"/>
    <w:rsid w:val="0088468D"/>
    <w:rsid w:val="00884BA2"/>
    <w:rsid w:val="00884C3A"/>
    <w:rsid w:val="00884F1F"/>
    <w:rsid w:val="00885205"/>
    <w:rsid w:val="00885E23"/>
    <w:rsid w:val="00885E8E"/>
    <w:rsid w:val="00886329"/>
    <w:rsid w:val="0088656C"/>
    <w:rsid w:val="00886586"/>
    <w:rsid w:val="00886F70"/>
    <w:rsid w:val="00886FA5"/>
    <w:rsid w:val="00887134"/>
    <w:rsid w:val="008873E5"/>
    <w:rsid w:val="008876DA"/>
    <w:rsid w:val="008878BA"/>
    <w:rsid w:val="0088790E"/>
    <w:rsid w:val="00887B1A"/>
    <w:rsid w:val="00887FEA"/>
    <w:rsid w:val="008901DF"/>
    <w:rsid w:val="0089048C"/>
    <w:rsid w:val="0089067A"/>
    <w:rsid w:val="008906BA"/>
    <w:rsid w:val="00890C76"/>
    <w:rsid w:val="00891111"/>
    <w:rsid w:val="00891119"/>
    <w:rsid w:val="008915DE"/>
    <w:rsid w:val="0089196B"/>
    <w:rsid w:val="0089313B"/>
    <w:rsid w:val="00893608"/>
    <w:rsid w:val="00893A7D"/>
    <w:rsid w:val="0089431F"/>
    <w:rsid w:val="0089563F"/>
    <w:rsid w:val="008962CA"/>
    <w:rsid w:val="00896AE4"/>
    <w:rsid w:val="00897005"/>
    <w:rsid w:val="00897DD0"/>
    <w:rsid w:val="00897F07"/>
    <w:rsid w:val="008A0168"/>
    <w:rsid w:val="008A064A"/>
    <w:rsid w:val="008A092B"/>
    <w:rsid w:val="008A13FF"/>
    <w:rsid w:val="008A1E1D"/>
    <w:rsid w:val="008A23C6"/>
    <w:rsid w:val="008A290A"/>
    <w:rsid w:val="008A2AD3"/>
    <w:rsid w:val="008A2F39"/>
    <w:rsid w:val="008A2F94"/>
    <w:rsid w:val="008A3360"/>
    <w:rsid w:val="008A3725"/>
    <w:rsid w:val="008A39D5"/>
    <w:rsid w:val="008A3D76"/>
    <w:rsid w:val="008A433C"/>
    <w:rsid w:val="008A481E"/>
    <w:rsid w:val="008A49EE"/>
    <w:rsid w:val="008A4D07"/>
    <w:rsid w:val="008A4F8C"/>
    <w:rsid w:val="008A5A79"/>
    <w:rsid w:val="008A6205"/>
    <w:rsid w:val="008A68F5"/>
    <w:rsid w:val="008A6DB3"/>
    <w:rsid w:val="008A72F0"/>
    <w:rsid w:val="008A7359"/>
    <w:rsid w:val="008A7588"/>
    <w:rsid w:val="008A768F"/>
    <w:rsid w:val="008B0022"/>
    <w:rsid w:val="008B00F1"/>
    <w:rsid w:val="008B02B7"/>
    <w:rsid w:val="008B031A"/>
    <w:rsid w:val="008B064D"/>
    <w:rsid w:val="008B075E"/>
    <w:rsid w:val="008B1048"/>
    <w:rsid w:val="008B16A7"/>
    <w:rsid w:val="008B181A"/>
    <w:rsid w:val="008B1A29"/>
    <w:rsid w:val="008B1C16"/>
    <w:rsid w:val="008B255B"/>
    <w:rsid w:val="008B2C05"/>
    <w:rsid w:val="008B2D7A"/>
    <w:rsid w:val="008B2FF4"/>
    <w:rsid w:val="008B31EE"/>
    <w:rsid w:val="008B349C"/>
    <w:rsid w:val="008B376F"/>
    <w:rsid w:val="008B49F5"/>
    <w:rsid w:val="008B594A"/>
    <w:rsid w:val="008B6292"/>
    <w:rsid w:val="008B66C5"/>
    <w:rsid w:val="008B6E83"/>
    <w:rsid w:val="008B6F24"/>
    <w:rsid w:val="008B7257"/>
    <w:rsid w:val="008B7387"/>
    <w:rsid w:val="008B766C"/>
    <w:rsid w:val="008B7DE8"/>
    <w:rsid w:val="008C00ED"/>
    <w:rsid w:val="008C0290"/>
    <w:rsid w:val="008C08E1"/>
    <w:rsid w:val="008C1078"/>
    <w:rsid w:val="008C1468"/>
    <w:rsid w:val="008C19D1"/>
    <w:rsid w:val="008C1D46"/>
    <w:rsid w:val="008C289D"/>
    <w:rsid w:val="008C2A86"/>
    <w:rsid w:val="008C2BEF"/>
    <w:rsid w:val="008C2F5C"/>
    <w:rsid w:val="008C3121"/>
    <w:rsid w:val="008C31E1"/>
    <w:rsid w:val="008C370F"/>
    <w:rsid w:val="008C421E"/>
    <w:rsid w:val="008C4370"/>
    <w:rsid w:val="008C45AB"/>
    <w:rsid w:val="008C4859"/>
    <w:rsid w:val="008C49FC"/>
    <w:rsid w:val="008C68F5"/>
    <w:rsid w:val="008C7D2F"/>
    <w:rsid w:val="008D0498"/>
    <w:rsid w:val="008D1227"/>
    <w:rsid w:val="008D1249"/>
    <w:rsid w:val="008D180D"/>
    <w:rsid w:val="008D184F"/>
    <w:rsid w:val="008D1854"/>
    <w:rsid w:val="008D1F56"/>
    <w:rsid w:val="008D2018"/>
    <w:rsid w:val="008D2168"/>
    <w:rsid w:val="008D25DA"/>
    <w:rsid w:val="008D2D7B"/>
    <w:rsid w:val="008D2F9A"/>
    <w:rsid w:val="008D35E0"/>
    <w:rsid w:val="008D392D"/>
    <w:rsid w:val="008D4257"/>
    <w:rsid w:val="008D4455"/>
    <w:rsid w:val="008D55BE"/>
    <w:rsid w:val="008D5CA7"/>
    <w:rsid w:val="008D5FB1"/>
    <w:rsid w:val="008D6004"/>
    <w:rsid w:val="008D62F3"/>
    <w:rsid w:val="008D7F95"/>
    <w:rsid w:val="008E0488"/>
    <w:rsid w:val="008E05B2"/>
    <w:rsid w:val="008E0B54"/>
    <w:rsid w:val="008E1EFB"/>
    <w:rsid w:val="008E2103"/>
    <w:rsid w:val="008E3208"/>
    <w:rsid w:val="008E38A5"/>
    <w:rsid w:val="008E3E5C"/>
    <w:rsid w:val="008E4B77"/>
    <w:rsid w:val="008E4CE0"/>
    <w:rsid w:val="008E4D02"/>
    <w:rsid w:val="008E5B47"/>
    <w:rsid w:val="008E63F0"/>
    <w:rsid w:val="008E6574"/>
    <w:rsid w:val="008E69CD"/>
    <w:rsid w:val="008E7609"/>
    <w:rsid w:val="008E7BE1"/>
    <w:rsid w:val="008F0171"/>
    <w:rsid w:val="008F08BE"/>
    <w:rsid w:val="008F0AA6"/>
    <w:rsid w:val="008F1CD5"/>
    <w:rsid w:val="008F1D19"/>
    <w:rsid w:val="008F20C0"/>
    <w:rsid w:val="008F45D0"/>
    <w:rsid w:val="008F4739"/>
    <w:rsid w:val="008F47E9"/>
    <w:rsid w:val="008F4F5F"/>
    <w:rsid w:val="008F5330"/>
    <w:rsid w:val="008F5B62"/>
    <w:rsid w:val="008F5D1B"/>
    <w:rsid w:val="008F5D56"/>
    <w:rsid w:val="008F62D6"/>
    <w:rsid w:val="008F655C"/>
    <w:rsid w:val="008F67C6"/>
    <w:rsid w:val="008F76B2"/>
    <w:rsid w:val="008F7922"/>
    <w:rsid w:val="008F7B3F"/>
    <w:rsid w:val="008F7BB8"/>
    <w:rsid w:val="00900457"/>
    <w:rsid w:val="00900475"/>
    <w:rsid w:val="00900BDC"/>
    <w:rsid w:val="009012CD"/>
    <w:rsid w:val="00901558"/>
    <w:rsid w:val="00901995"/>
    <w:rsid w:val="00901F4A"/>
    <w:rsid w:val="0090252A"/>
    <w:rsid w:val="00902BC8"/>
    <w:rsid w:val="009031FE"/>
    <w:rsid w:val="00903392"/>
    <w:rsid w:val="00903517"/>
    <w:rsid w:val="00903B6F"/>
    <w:rsid w:val="00903DCA"/>
    <w:rsid w:val="00904248"/>
    <w:rsid w:val="0090434E"/>
    <w:rsid w:val="00904437"/>
    <w:rsid w:val="009061DC"/>
    <w:rsid w:val="0090640C"/>
    <w:rsid w:val="00906D57"/>
    <w:rsid w:val="00907D97"/>
    <w:rsid w:val="00907F80"/>
    <w:rsid w:val="00907FE2"/>
    <w:rsid w:val="009100EF"/>
    <w:rsid w:val="00910294"/>
    <w:rsid w:val="00910784"/>
    <w:rsid w:val="00911A65"/>
    <w:rsid w:val="0091217D"/>
    <w:rsid w:val="009125A5"/>
    <w:rsid w:val="00912659"/>
    <w:rsid w:val="0091295F"/>
    <w:rsid w:val="009130CD"/>
    <w:rsid w:val="009132C4"/>
    <w:rsid w:val="00913830"/>
    <w:rsid w:val="00913D7F"/>
    <w:rsid w:val="00913FB5"/>
    <w:rsid w:val="00914AA4"/>
    <w:rsid w:val="00915034"/>
    <w:rsid w:val="00915833"/>
    <w:rsid w:val="00915D2C"/>
    <w:rsid w:val="009161F4"/>
    <w:rsid w:val="009164DF"/>
    <w:rsid w:val="00916754"/>
    <w:rsid w:val="00916DF0"/>
    <w:rsid w:val="00917B2C"/>
    <w:rsid w:val="00917C01"/>
    <w:rsid w:val="00920179"/>
    <w:rsid w:val="00920511"/>
    <w:rsid w:val="00920DCC"/>
    <w:rsid w:val="0092105D"/>
    <w:rsid w:val="009212E0"/>
    <w:rsid w:val="00921329"/>
    <w:rsid w:val="009215FE"/>
    <w:rsid w:val="00921A50"/>
    <w:rsid w:val="00921DF1"/>
    <w:rsid w:val="009222A5"/>
    <w:rsid w:val="00922601"/>
    <w:rsid w:val="009227DD"/>
    <w:rsid w:val="009227FC"/>
    <w:rsid w:val="00922870"/>
    <w:rsid w:val="00922A83"/>
    <w:rsid w:val="00922C5C"/>
    <w:rsid w:val="00922D36"/>
    <w:rsid w:val="00922F0D"/>
    <w:rsid w:val="009238B6"/>
    <w:rsid w:val="009239A1"/>
    <w:rsid w:val="00923A56"/>
    <w:rsid w:val="00924163"/>
    <w:rsid w:val="009254E2"/>
    <w:rsid w:val="00925C72"/>
    <w:rsid w:val="00925C91"/>
    <w:rsid w:val="0092711B"/>
    <w:rsid w:val="009275AD"/>
    <w:rsid w:val="00927903"/>
    <w:rsid w:val="00927F3E"/>
    <w:rsid w:val="009300E2"/>
    <w:rsid w:val="009307F8"/>
    <w:rsid w:val="00930B96"/>
    <w:rsid w:val="00930D3C"/>
    <w:rsid w:val="00932801"/>
    <w:rsid w:val="00932922"/>
    <w:rsid w:val="00932D93"/>
    <w:rsid w:val="00932E06"/>
    <w:rsid w:val="00932FA6"/>
    <w:rsid w:val="0093322B"/>
    <w:rsid w:val="009332AB"/>
    <w:rsid w:val="009332BE"/>
    <w:rsid w:val="0093342A"/>
    <w:rsid w:val="009335AD"/>
    <w:rsid w:val="00934246"/>
    <w:rsid w:val="00934EF4"/>
    <w:rsid w:val="00935556"/>
    <w:rsid w:val="00935B81"/>
    <w:rsid w:val="00935BBF"/>
    <w:rsid w:val="00935D26"/>
    <w:rsid w:val="009360F1"/>
    <w:rsid w:val="00936252"/>
    <w:rsid w:val="00936A19"/>
    <w:rsid w:val="00936A90"/>
    <w:rsid w:val="00936AF8"/>
    <w:rsid w:val="00936B82"/>
    <w:rsid w:val="00936C05"/>
    <w:rsid w:val="00936C10"/>
    <w:rsid w:val="0093726F"/>
    <w:rsid w:val="00940066"/>
    <w:rsid w:val="00940159"/>
    <w:rsid w:val="0094066E"/>
    <w:rsid w:val="009409EF"/>
    <w:rsid w:val="00940CCA"/>
    <w:rsid w:val="0094130D"/>
    <w:rsid w:val="00941B77"/>
    <w:rsid w:val="00941D83"/>
    <w:rsid w:val="0094256E"/>
    <w:rsid w:val="0094345F"/>
    <w:rsid w:val="0094346F"/>
    <w:rsid w:val="009437EE"/>
    <w:rsid w:val="00943EA6"/>
    <w:rsid w:val="0094442D"/>
    <w:rsid w:val="009445CE"/>
    <w:rsid w:val="009447F2"/>
    <w:rsid w:val="00945C63"/>
    <w:rsid w:val="00946AB7"/>
    <w:rsid w:val="0094707F"/>
    <w:rsid w:val="00950365"/>
    <w:rsid w:val="00950412"/>
    <w:rsid w:val="00950C9A"/>
    <w:rsid w:val="009510C8"/>
    <w:rsid w:val="009512CA"/>
    <w:rsid w:val="009513E6"/>
    <w:rsid w:val="00952116"/>
    <w:rsid w:val="00952279"/>
    <w:rsid w:val="00952AD5"/>
    <w:rsid w:val="00952B9D"/>
    <w:rsid w:val="00952EAA"/>
    <w:rsid w:val="00953580"/>
    <w:rsid w:val="00953ED3"/>
    <w:rsid w:val="009547FC"/>
    <w:rsid w:val="00954D96"/>
    <w:rsid w:val="0095568F"/>
    <w:rsid w:val="00955B31"/>
    <w:rsid w:val="00955C06"/>
    <w:rsid w:val="00956157"/>
    <w:rsid w:val="0095648F"/>
    <w:rsid w:val="009566BA"/>
    <w:rsid w:val="009567A6"/>
    <w:rsid w:val="0095696B"/>
    <w:rsid w:val="00956D9A"/>
    <w:rsid w:val="009575BD"/>
    <w:rsid w:val="00957C30"/>
    <w:rsid w:val="00957FD3"/>
    <w:rsid w:val="0096091C"/>
    <w:rsid w:val="00960CB4"/>
    <w:rsid w:val="00960F90"/>
    <w:rsid w:val="00961142"/>
    <w:rsid w:val="0096148F"/>
    <w:rsid w:val="00961809"/>
    <w:rsid w:val="009630C0"/>
    <w:rsid w:val="0096313C"/>
    <w:rsid w:val="0096322C"/>
    <w:rsid w:val="00963BEF"/>
    <w:rsid w:val="00963D8E"/>
    <w:rsid w:val="009645AB"/>
    <w:rsid w:val="009645DF"/>
    <w:rsid w:val="009647B7"/>
    <w:rsid w:val="00965318"/>
    <w:rsid w:val="00965514"/>
    <w:rsid w:val="00965946"/>
    <w:rsid w:val="0096679E"/>
    <w:rsid w:val="00966859"/>
    <w:rsid w:val="00966A3C"/>
    <w:rsid w:val="009671A3"/>
    <w:rsid w:val="00967361"/>
    <w:rsid w:val="00967AFA"/>
    <w:rsid w:val="00970267"/>
    <w:rsid w:val="0097065F"/>
    <w:rsid w:val="009711AB"/>
    <w:rsid w:val="00971434"/>
    <w:rsid w:val="00971D3B"/>
    <w:rsid w:val="00972349"/>
    <w:rsid w:val="00972482"/>
    <w:rsid w:val="00972F0D"/>
    <w:rsid w:val="0097321B"/>
    <w:rsid w:val="00973687"/>
    <w:rsid w:val="009740FD"/>
    <w:rsid w:val="0097435A"/>
    <w:rsid w:val="00974759"/>
    <w:rsid w:val="009749F3"/>
    <w:rsid w:val="00974A7D"/>
    <w:rsid w:val="00974D7B"/>
    <w:rsid w:val="0097503B"/>
    <w:rsid w:val="00975296"/>
    <w:rsid w:val="00975517"/>
    <w:rsid w:val="009758AE"/>
    <w:rsid w:val="009771B6"/>
    <w:rsid w:val="00980059"/>
    <w:rsid w:val="009800DB"/>
    <w:rsid w:val="0098032F"/>
    <w:rsid w:val="00980580"/>
    <w:rsid w:val="00980DE6"/>
    <w:rsid w:val="00980E42"/>
    <w:rsid w:val="009810BE"/>
    <w:rsid w:val="009811EF"/>
    <w:rsid w:val="009819BD"/>
    <w:rsid w:val="00982829"/>
    <w:rsid w:val="009833EA"/>
    <w:rsid w:val="009834F6"/>
    <w:rsid w:val="0098399F"/>
    <w:rsid w:val="00983C8A"/>
    <w:rsid w:val="00984759"/>
    <w:rsid w:val="00984AB3"/>
    <w:rsid w:val="0098565B"/>
    <w:rsid w:val="00985836"/>
    <w:rsid w:val="009860A6"/>
    <w:rsid w:val="0098653B"/>
    <w:rsid w:val="0098656C"/>
    <w:rsid w:val="009866A6"/>
    <w:rsid w:val="00986D06"/>
    <w:rsid w:val="00986E0F"/>
    <w:rsid w:val="0098730A"/>
    <w:rsid w:val="009901C1"/>
    <w:rsid w:val="009902AD"/>
    <w:rsid w:val="009920EE"/>
    <w:rsid w:val="009923D9"/>
    <w:rsid w:val="00993069"/>
    <w:rsid w:val="009939BE"/>
    <w:rsid w:val="00993AFA"/>
    <w:rsid w:val="00993DD6"/>
    <w:rsid w:val="00994516"/>
    <w:rsid w:val="00995CDE"/>
    <w:rsid w:val="009960C2"/>
    <w:rsid w:val="00996987"/>
    <w:rsid w:val="00996AD3"/>
    <w:rsid w:val="00997EF3"/>
    <w:rsid w:val="009A01F0"/>
    <w:rsid w:val="009A0274"/>
    <w:rsid w:val="009A110A"/>
    <w:rsid w:val="009A120E"/>
    <w:rsid w:val="009A183B"/>
    <w:rsid w:val="009A1D13"/>
    <w:rsid w:val="009A2727"/>
    <w:rsid w:val="009A27F3"/>
    <w:rsid w:val="009A2927"/>
    <w:rsid w:val="009A2B31"/>
    <w:rsid w:val="009A3873"/>
    <w:rsid w:val="009A423E"/>
    <w:rsid w:val="009A44EC"/>
    <w:rsid w:val="009A4871"/>
    <w:rsid w:val="009A4AFD"/>
    <w:rsid w:val="009A4BAD"/>
    <w:rsid w:val="009A53AA"/>
    <w:rsid w:val="009A5C27"/>
    <w:rsid w:val="009A5F53"/>
    <w:rsid w:val="009A6CF1"/>
    <w:rsid w:val="009A77D5"/>
    <w:rsid w:val="009A7B6A"/>
    <w:rsid w:val="009A7D32"/>
    <w:rsid w:val="009A7F40"/>
    <w:rsid w:val="009B00BB"/>
    <w:rsid w:val="009B0FCA"/>
    <w:rsid w:val="009B14D7"/>
    <w:rsid w:val="009B1A9F"/>
    <w:rsid w:val="009B26CC"/>
    <w:rsid w:val="009B2EB6"/>
    <w:rsid w:val="009B2EED"/>
    <w:rsid w:val="009B2F77"/>
    <w:rsid w:val="009B37D4"/>
    <w:rsid w:val="009B3B9D"/>
    <w:rsid w:val="009B3DD8"/>
    <w:rsid w:val="009B3E92"/>
    <w:rsid w:val="009B3F60"/>
    <w:rsid w:val="009B4448"/>
    <w:rsid w:val="009B456A"/>
    <w:rsid w:val="009B4AA9"/>
    <w:rsid w:val="009B50CB"/>
    <w:rsid w:val="009B5B3E"/>
    <w:rsid w:val="009B5E4A"/>
    <w:rsid w:val="009B5F64"/>
    <w:rsid w:val="009B6499"/>
    <w:rsid w:val="009B6637"/>
    <w:rsid w:val="009B67CC"/>
    <w:rsid w:val="009B6CBB"/>
    <w:rsid w:val="009B6FB9"/>
    <w:rsid w:val="009B73A0"/>
    <w:rsid w:val="009B741F"/>
    <w:rsid w:val="009C0699"/>
    <w:rsid w:val="009C0776"/>
    <w:rsid w:val="009C0BF5"/>
    <w:rsid w:val="009C0EB5"/>
    <w:rsid w:val="009C19F5"/>
    <w:rsid w:val="009C1DB3"/>
    <w:rsid w:val="009C2072"/>
    <w:rsid w:val="009C227E"/>
    <w:rsid w:val="009C22FD"/>
    <w:rsid w:val="009C292E"/>
    <w:rsid w:val="009C2C2B"/>
    <w:rsid w:val="009C311D"/>
    <w:rsid w:val="009C33B6"/>
    <w:rsid w:val="009C371F"/>
    <w:rsid w:val="009C4170"/>
    <w:rsid w:val="009C4911"/>
    <w:rsid w:val="009C4AD2"/>
    <w:rsid w:val="009C4B47"/>
    <w:rsid w:val="009C5656"/>
    <w:rsid w:val="009C5993"/>
    <w:rsid w:val="009C5F26"/>
    <w:rsid w:val="009C601A"/>
    <w:rsid w:val="009C6313"/>
    <w:rsid w:val="009C6426"/>
    <w:rsid w:val="009C66A3"/>
    <w:rsid w:val="009C6C79"/>
    <w:rsid w:val="009C70D1"/>
    <w:rsid w:val="009C7990"/>
    <w:rsid w:val="009C7A17"/>
    <w:rsid w:val="009C7FCE"/>
    <w:rsid w:val="009D011F"/>
    <w:rsid w:val="009D0762"/>
    <w:rsid w:val="009D0873"/>
    <w:rsid w:val="009D0991"/>
    <w:rsid w:val="009D0ED7"/>
    <w:rsid w:val="009D1016"/>
    <w:rsid w:val="009D114B"/>
    <w:rsid w:val="009D1965"/>
    <w:rsid w:val="009D1C51"/>
    <w:rsid w:val="009D2096"/>
    <w:rsid w:val="009D23E6"/>
    <w:rsid w:val="009D240C"/>
    <w:rsid w:val="009D30B7"/>
    <w:rsid w:val="009D31D5"/>
    <w:rsid w:val="009D405F"/>
    <w:rsid w:val="009D4063"/>
    <w:rsid w:val="009D4082"/>
    <w:rsid w:val="009D4B19"/>
    <w:rsid w:val="009D5130"/>
    <w:rsid w:val="009D52FA"/>
    <w:rsid w:val="009D5632"/>
    <w:rsid w:val="009D5AC2"/>
    <w:rsid w:val="009D5BA6"/>
    <w:rsid w:val="009D5ED6"/>
    <w:rsid w:val="009D6DED"/>
    <w:rsid w:val="009D70FE"/>
    <w:rsid w:val="009D74C6"/>
    <w:rsid w:val="009D7F4C"/>
    <w:rsid w:val="009E008D"/>
    <w:rsid w:val="009E0770"/>
    <w:rsid w:val="009E0AEF"/>
    <w:rsid w:val="009E0CED"/>
    <w:rsid w:val="009E12F9"/>
    <w:rsid w:val="009E16F1"/>
    <w:rsid w:val="009E1B42"/>
    <w:rsid w:val="009E1C69"/>
    <w:rsid w:val="009E1DE9"/>
    <w:rsid w:val="009E26DB"/>
    <w:rsid w:val="009E3945"/>
    <w:rsid w:val="009E3C56"/>
    <w:rsid w:val="009E3CB5"/>
    <w:rsid w:val="009E447E"/>
    <w:rsid w:val="009E5338"/>
    <w:rsid w:val="009E549C"/>
    <w:rsid w:val="009E554C"/>
    <w:rsid w:val="009E562A"/>
    <w:rsid w:val="009E58F5"/>
    <w:rsid w:val="009E5FFC"/>
    <w:rsid w:val="009E5FFD"/>
    <w:rsid w:val="009E6491"/>
    <w:rsid w:val="009E7392"/>
    <w:rsid w:val="009E74F4"/>
    <w:rsid w:val="009E7C35"/>
    <w:rsid w:val="009F0FAC"/>
    <w:rsid w:val="009F121B"/>
    <w:rsid w:val="009F1385"/>
    <w:rsid w:val="009F2D6C"/>
    <w:rsid w:val="009F3162"/>
    <w:rsid w:val="009F39EC"/>
    <w:rsid w:val="009F3D12"/>
    <w:rsid w:val="009F45EA"/>
    <w:rsid w:val="009F4697"/>
    <w:rsid w:val="009F4BB5"/>
    <w:rsid w:val="009F4CEE"/>
    <w:rsid w:val="009F4F27"/>
    <w:rsid w:val="009F4FC0"/>
    <w:rsid w:val="009F4FD2"/>
    <w:rsid w:val="009F5156"/>
    <w:rsid w:val="009F5251"/>
    <w:rsid w:val="009F5A2B"/>
    <w:rsid w:val="009F6557"/>
    <w:rsid w:val="009F679A"/>
    <w:rsid w:val="009F68AA"/>
    <w:rsid w:val="009F6CE8"/>
    <w:rsid w:val="009F6D4B"/>
    <w:rsid w:val="009F742D"/>
    <w:rsid w:val="009F7A83"/>
    <w:rsid w:val="009F7B23"/>
    <w:rsid w:val="00A00189"/>
    <w:rsid w:val="00A0076F"/>
    <w:rsid w:val="00A014CC"/>
    <w:rsid w:val="00A0164D"/>
    <w:rsid w:val="00A01782"/>
    <w:rsid w:val="00A01B11"/>
    <w:rsid w:val="00A02146"/>
    <w:rsid w:val="00A023A9"/>
    <w:rsid w:val="00A027C4"/>
    <w:rsid w:val="00A03178"/>
    <w:rsid w:val="00A039B4"/>
    <w:rsid w:val="00A0432B"/>
    <w:rsid w:val="00A04469"/>
    <w:rsid w:val="00A04E7A"/>
    <w:rsid w:val="00A052A6"/>
    <w:rsid w:val="00A0570E"/>
    <w:rsid w:val="00A05FD6"/>
    <w:rsid w:val="00A07865"/>
    <w:rsid w:val="00A07E3B"/>
    <w:rsid w:val="00A07EEC"/>
    <w:rsid w:val="00A1052B"/>
    <w:rsid w:val="00A10AD4"/>
    <w:rsid w:val="00A10C9B"/>
    <w:rsid w:val="00A1100B"/>
    <w:rsid w:val="00A119EE"/>
    <w:rsid w:val="00A12979"/>
    <w:rsid w:val="00A1328E"/>
    <w:rsid w:val="00A13292"/>
    <w:rsid w:val="00A1338C"/>
    <w:rsid w:val="00A1394B"/>
    <w:rsid w:val="00A13A38"/>
    <w:rsid w:val="00A13CBF"/>
    <w:rsid w:val="00A14191"/>
    <w:rsid w:val="00A145BF"/>
    <w:rsid w:val="00A15328"/>
    <w:rsid w:val="00A15555"/>
    <w:rsid w:val="00A15F65"/>
    <w:rsid w:val="00A16A89"/>
    <w:rsid w:val="00A16F4D"/>
    <w:rsid w:val="00A1793A"/>
    <w:rsid w:val="00A2088E"/>
    <w:rsid w:val="00A20988"/>
    <w:rsid w:val="00A20DCC"/>
    <w:rsid w:val="00A2123C"/>
    <w:rsid w:val="00A21536"/>
    <w:rsid w:val="00A220F8"/>
    <w:rsid w:val="00A2251D"/>
    <w:rsid w:val="00A22899"/>
    <w:rsid w:val="00A22ACE"/>
    <w:rsid w:val="00A22C23"/>
    <w:rsid w:val="00A23183"/>
    <w:rsid w:val="00A236C5"/>
    <w:rsid w:val="00A2381B"/>
    <w:rsid w:val="00A23A39"/>
    <w:rsid w:val="00A24061"/>
    <w:rsid w:val="00A2434B"/>
    <w:rsid w:val="00A24A64"/>
    <w:rsid w:val="00A25077"/>
    <w:rsid w:val="00A25FB9"/>
    <w:rsid w:val="00A26115"/>
    <w:rsid w:val="00A26C16"/>
    <w:rsid w:val="00A27643"/>
    <w:rsid w:val="00A279B0"/>
    <w:rsid w:val="00A27F43"/>
    <w:rsid w:val="00A30330"/>
    <w:rsid w:val="00A304A2"/>
    <w:rsid w:val="00A316F6"/>
    <w:rsid w:val="00A317BB"/>
    <w:rsid w:val="00A31A6B"/>
    <w:rsid w:val="00A31BD1"/>
    <w:rsid w:val="00A3242B"/>
    <w:rsid w:val="00A329BB"/>
    <w:rsid w:val="00A33759"/>
    <w:rsid w:val="00A33967"/>
    <w:rsid w:val="00A342FA"/>
    <w:rsid w:val="00A347AD"/>
    <w:rsid w:val="00A34CE5"/>
    <w:rsid w:val="00A34D71"/>
    <w:rsid w:val="00A34EF7"/>
    <w:rsid w:val="00A34F21"/>
    <w:rsid w:val="00A35351"/>
    <w:rsid w:val="00A356C0"/>
    <w:rsid w:val="00A358D0"/>
    <w:rsid w:val="00A35A4F"/>
    <w:rsid w:val="00A35DC3"/>
    <w:rsid w:val="00A35E1D"/>
    <w:rsid w:val="00A36453"/>
    <w:rsid w:val="00A3685F"/>
    <w:rsid w:val="00A36BDC"/>
    <w:rsid w:val="00A373EF"/>
    <w:rsid w:val="00A37531"/>
    <w:rsid w:val="00A37767"/>
    <w:rsid w:val="00A378FC"/>
    <w:rsid w:val="00A37A9E"/>
    <w:rsid w:val="00A37AFE"/>
    <w:rsid w:val="00A37ECE"/>
    <w:rsid w:val="00A37EFB"/>
    <w:rsid w:val="00A402CA"/>
    <w:rsid w:val="00A40BB5"/>
    <w:rsid w:val="00A410C6"/>
    <w:rsid w:val="00A42189"/>
    <w:rsid w:val="00A42430"/>
    <w:rsid w:val="00A4305D"/>
    <w:rsid w:val="00A43269"/>
    <w:rsid w:val="00A436DE"/>
    <w:rsid w:val="00A437C1"/>
    <w:rsid w:val="00A43DE1"/>
    <w:rsid w:val="00A4416D"/>
    <w:rsid w:val="00A44BAC"/>
    <w:rsid w:val="00A44FEC"/>
    <w:rsid w:val="00A44FFF"/>
    <w:rsid w:val="00A45951"/>
    <w:rsid w:val="00A45B50"/>
    <w:rsid w:val="00A4619A"/>
    <w:rsid w:val="00A4693D"/>
    <w:rsid w:val="00A47462"/>
    <w:rsid w:val="00A47878"/>
    <w:rsid w:val="00A47AAE"/>
    <w:rsid w:val="00A50432"/>
    <w:rsid w:val="00A50601"/>
    <w:rsid w:val="00A517C4"/>
    <w:rsid w:val="00A5239D"/>
    <w:rsid w:val="00A52512"/>
    <w:rsid w:val="00A5269B"/>
    <w:rsid w:val="00A5295A"/>
    <w:rsid w:val="00A5306D"/>
    <w:rsid w:val="00A53A7E"/>
    <w:rsid w:val="00A54278"/>
    <w:rsid w:val="00A546AC"/>
    <w:rsid w:val="00A54862"/>
    <w:rsid w:val="00A54918"/>
    <w:rsid w:val="00A55C79"/>
    <w:rsid w:val="00A566F5"/>
    <w:rsid w:val="00A56B02"/>
    <w:rsid w:val="00A56B8A"/>
    <w:rsid w:val="00A56DB5"/>
    <w:rsid w:val="00A56E27"/>
    <w:rsid w:val="00A56E39"/>
    <w:rsid w:val="00A5733E"/>
    <w:rsid w:val="00A577A6"/>
    <w:rsid w:val="00A577AA"/>
    <w:rsid w:val="00A60048"/>
    <w:rsid w:val="00A606A2"/>
    <w:rsid w:val="00A6078E"/>
    <w:rsid w:val="00A608E8"/>
    <w:rsid w:val="00A60B1A"/>
    <w:rsid w:val="00A60B3F"/>
    <w:rsid w:val="00A615DD"/>
    <w:rsid w:val="00A618D7"/>
    <w:rsid w:val="00A6200B"/>
    <w:rsid w:val="00A62027"/>
    <w:rsid w:val="00A620DC"/>
    <w:rsid w:val="00A622A1"/>
    <w:rsid w:val="00A627C6"/>
    <w:rsid w:val="00A629BA"/>
    <w:rsid w:val="00A629F4"/>
    <w:rsid w:val="00A633F5"/>
    <w:rsid w:val="00A636CE"/>
    <w:rsid w:val="00A63E15"/>
    <w:rsid w:val="00A64244"/>
    <w:rsid w:val="00A64995"/>
    <w:rsid w:val="00A65038"/>
    <w:rsid w:val="00A6554A"/>
    <w:rsid w:val="00A6576B"/>
    <w:rsid w:val="00A65A3F"/>
    <w:rsid w:val="00A66335"/>
    <w:rsid w:val="00A66E20"/>
    <w:rsid w:val="00A66EA7"/>
    <w:rsid w:val="00A701EF"/>
    <w:rsid w:val="00A703DE"/>
    <w:rsid w:val="00A71D60"/>
    <w:rsid w:val="00A72582"/>
    <w:rsid w:val="00A72A38"/>
    <w:rsid w:val="00A72E1F"/>
    <w:rsid w:val="00A7341F"/>
    <w:rsid w:val="00A735E4"/>
    <w:rsid w:val="00A73BF5"/>
    <w:rsid w:val="00A73C4D"/>
    <w:rsid w:val="00A75903"/>
    <w:rsid w:val="00A767AA"/>
    <w:rsid w:val="00A77B09"/>
    <w:rsid w:val="00A77F41"/>
    <w:rsid w:val="00A806EE"/>
    <w:rsid w:val="00A80A74"/>
    <w:rsid w:val="00A80B4E"/>
    <w:rsid w:val="00A8106D"/>
    <w:rsid w:val="00A815E2"/>
    <w:rsid w:val="00A81827"/>
    <w:rsid w:val="00A8237A"/>
    <w:rsid w:val="00A82EF9"/>
    <w:rsid w:val="00A83F1A"/>
    <w:rsid w:val="00A840E2"/>
    <w:rsid w:val="00A848AD"/>
    <w:rsid w:val="00A84A70"/>
    <w:rsid w:val="00A852DD"/>
    <w:rsid w:val="00A8583D"/>
    <w:rsid w:val="00A85A1F"/>
    <w:rsid w:val="00A85AA4"/>
    <w:rsid w:val="00A85C05"/>
    <w:rsid w:val="00A85CCA"/>
    <w:rsid w:val="00A85E14"/>
    <w:rsid w:val="00A865D1"/>
    <w:rsid w:val="00A867C3"/>
    <w:rsid w:val="00A86ABB"/>
    <w:rsid w:val="00A86D0F"/>
    <w:rsid w:val="00A86F53"/>
    <w:rsid w:val="00A87543"/>
    <w:rsid w:val="00A8779E"/>
    <w:rsid w:val="00A9092D"/>
    <w:rsid w:val="00A910CF"/>
    <w:rsid w:val="00A91D75"/>
    <w:rsid w:val="00A9214C"/>
    <w:rsid w:val="00A925EF"/>
    <w:rsid w:val="00A92763"/>
    <w:rsid w:val="00A92E7B"/>
    <w:rsid w:val="00A936D7"/>
    <w:rsid w:val="00A93AA8"/>
    <w:rsid w:val="00A93C5C"/>
    <w:rsid w:val="00A93FE2"/>
    <w:rsid w:val="00A9405F"/>
    <w:rsid w:val="00A94180"/>
    <w:rsid w:val="00A94586"/>
    <w:rsid w:val="00A94B24"/>
    <w:rsid w:val="00A94B8A"/>
    <w:rsid w:val="00A9540E"/>
    <w:rsid w:val="00A95C88"/>
    <w:rsid w:val="00A961C7"/>
    <w:rsid w:val="00A97347"/>
    <w:rsid w:val="00A97698"/>
    <w:rsid w:val="00A97946"/>
    <w:rsid w:val="00A97E5C"/>
    <w:rsid w:val="00AA0011"/>
    <w:rsid w:val="00AA0048"/>
    <w:rsid w:val="00AA0148"/>
    <w:rsid w:val="00AA0BA9"/>
    <w:rsid w:val="00AA0C23"/>
    <w:rsid w:val="00AA0CDD"/>
    <w:rsid w:val="00AA0F2C"/>
    <w:rsid w:val="00AA25EF"/>
    <w:rsid w:val="00AA2A7C"/>
    <w:rsid w:val="00AA2AF0"/>
    <w:rsid w:val="00AA2CD8"/>
    <w:rsid w:val="00AA2D71"/>
    <w:rsid w:val="00AA2FDD"/>
    <w:rsid w:val="00AA3541"/>
    <w:rsid w:val="00AA4440"/>
    <w:rsid w:val="00AA4C56"/>
    <w:rsid w:val="00AA5080"/>
    <w:rsid w:val="00AA5CD5"/>
    <w:rsid w:val="00AA644B"/>
    <w:rsid w:val="00AA6D8E"/>
    <w:rsid w:val="00AA73EC"/>
    <w:rsid w:val="00AB03BB"/>
    <w:rsid w:val="00AB0F69"/>
    <w:rsid w:val="00AB15A7"/>
    <w:rsid w:val="00AB1630"/>
    <w:rsid w:val="00AB1BB8"/>
    <w:rsid w:val="00AB2508"/>
    <w:rsid w:val="00AB2AB1"/>
    <w:rsid w:val="00AB2C83"/>
    <w:rsid w:val="00AB327C"/>
    <w:rsid w:val="00AB32EC"/>
    <w:rsid w:val="00AB3C30"/>
    <w:rsid w:val="00AB3F6F"/>
    <w:rsid w:val="00AB4877"/>
    <w:rsid w:val="00AB4932"/>
    <w:rsid w:val="00AB4A10"/>
    <w:rsid w:val="00AB4AEA"/>
    <w:rsid w:val="00AB4E40"/>
    <w:rsid w:val="00AB538A"/>
    <w:rsid w:val="00AB589F"/>
    <w:rsid w:val="00AB58A0"/>
    <w:rsid w:val="00AB5B2F"/>
    <w:rsid w:val="00AB5C3D"/>
    <w:rsid w:val="00AB5CFD"/>
    <w:rsid w:val="00AB600D"/>
    <w:rsid w:val="00AB6400"/>
    <w:rsid w:val="00AB6676"/>
    <w:rsid w:val="00AB6B98"/>
    <w:rsid w:val="00AB780B"/>
    <w:rsid w:val="00AC09FD"/>
    <w:rsid w:val="00AC0AA8"/>
    <w:rsid w:val="00AC0D9B"/>
    <w:rsid w:val="00AC0E24"/>
    <w:rsid w:val="00AC1054"/>
    <w:rsid w:val="00AC133D"/>
    <w:rsid w:val="00AC1F5F"/>
    <w:rsid w:val="00AC246F"/>
    <w:rsid w:val="00AC2DE3"/>
    <w:rsid w:val="00AC3FBF"/>
    <w:rsid w:val="00AC4999"/>
    <w:rsid w:val="00AC4FBE"/>
    <w:rsid w:val="00AC4FFD"/>
    <w:rsid w:val="00AC610E"/>
    <w:rsid w:val="00AC7350"/>
    <w:rsid w:val="00AC752B"/>
    <w:rsid w:val="00AD00F3"/>
    <w:rsid w:val="00AD0226"/>
    <w:rsid w:val="00AD096E"/>
    <w:rsid w:val="00AD09B8"/>
    <w:rsid w:val="00AD0B3E"/>
    <w:rsid w:val="00AD0B56"/>
    <w:rsid w:val="00AD0E10"/>
    <w:rsid w:val="00AD1CB8"/>
    <w:rsid w:val="00AD1E93"/>
    <w:rsid w:val="00AD2BE0"/>
    <w:rsid w:val="00AD2E72"/>
    <w:rsid w:val="00AD3189"/>
    <w:rsid w:val="00AD330A"/>
    <w:rsid w:val="00AD39B7"/>
    <w:rsid w:val="00AD4309"/>
    <w:rsid w:val="00AD4611"/>
    <w:rsid w:val="00AD482B"/>
    <w:rsid w:val="00AD4A62"/>
    <w:rsid w:val="00AD4B1A"/>
    <w:rsid w:val="00AD4EC2"/>
    <w:rsid w:val="00AD5667"/>
    <w:rsid w:val="00AD5C0C"/>
    <w:rsid w:val="00AD5F30"/>
    <w:rsid w:val="00AD6118"/>
    <w:rsid w:val="00AD6B47"/>
    <w:rsid w:val="00AD6C9E"/>
    <w:rsid w:val="00AD6CCC"/>
    <w:rsid w:val="00AD7554"/>
    <w:rsid w:val="00AE0327"/>
    <w:rsid w:val="00AE0733"/>
    <w:rsid w:val="00AE10A4"/>
    <w:rsid w:val="00AE1375"/>
    <w:rsid w:val="00AE13FA"/>
    <w:rsid w:val="00AE2190"/>
    <w:rsid w:val="00AE23B4"/>
    <w:rsid w:val="00AE2609"/>
    <w:rsid w:val="00AE33AA"/>
    <w:rsid w:val="00AE477F"/>
    <w:rsid w:val="00AE563D"/>
    <w:rsid w:val="00AE5691"/>
    <w:rsid w:val="00AE63B2"/>
    <w:rsid w:val="00AE6739"/>
    <w:rsid w:val="00AE6AE5"/>
    <w:rsid w:val="00AE715A"/>
    <w:rsid w:val="00AE76AB"/>
    <w:rsid w:val="00AE7A43"/>
    <w:rsid w:val="00AE7B34"/>
    <w:rsid w:val="00AE7F7E"/>
    <w:rsid w:val="00AF00AC"/>
    <w:rsid w:val="00AF02E4"/>
    <w:rsid w:val="00AF1047"/>
    <w:rsid w:val="00AF12DF"/>
    <w:rsid w:val="00AF154C"/>
    <w:rsid w:val="00AF16A1"/>
    <w:rsid w:val="00AF2595"/>
    <w:rsid w:val="00AF2836"/>
    <w:rsid w:val="00AF2CC1"/>
    <w:rsid w:val="00AF3356"/>
    <w:rsid w:val="00AF3A8C"/>
    <w:rsid w:val="00AF4595"/>
    <w:rsid w:val="00AF531B"/>
    <w:rsid w:val="00AF537F"/>
    <w:rsid w:val="00AF54A6"/>
    <w:rsid w:val="00AF558C"/>
    <w:rsid w:val="00AF5D82"/>
    <w:rsid w:val="00AF5E37"/>
    <w:rsid w:val="00AF629F"/>
    <w:rsid w:val="00AF6562"/>
    <w:rsid w:val="00AF665C"/>
    <w:rsid w:val="00AF6CB0"/>
    <w:rsid w:val="00AF7170"/>
    <w:rsid w:val="00AF7513"/>
    <w:rsid w:val="00B0033C"/>
    <w:rsid w:val="00B01259"/>
    <w:rsid w:val="00B012DE"/>
    <w:rsid w:val="00B0154F"/>
    <w:rsid w:val="00B02B6D"/>
    <w:rsid w:val="00B02E7C"/>
    <w:rsid w:val="00B03316"/>
    <w:rsid w:val="00B03CB2"/>
    <w:rsid w:val="00B04269"/>
    <w:rsid w:val="00B0459E"/>
    <w:rsid w:val="00B04802"/>
    <w:rsid w:val="00B04D28"/>
    <w:rsid w:val="00B04EDA"/>
    <w:rsid w:val="00B04FE1"/>
    <w:rsid w:val="00B05398"/>
    <w:rsid w:val="00B05544"/>
    <w:rsid w:val="00B05626"/>
    <w:rsid w:val="00B05A8D"/>
    <w:rsid w:val="00B05CCD"/>
    <w:rsid w:val="00B0632E"/>
    <w:rsid w:val="00B06CF4"/>
    <w:rsid w:val="00B0781B"/>
    <w:rsid w:val="00B07F1F"/>
    <w:rsid w:val="00B101ED"/>
    <w:rsid w:val="00B10434"/>
    <w:rsid w:val="00B106D8"/>
    <w:rsid w:val="00B109BC"/>
    <w:rsid w:val="00B111E9"/>
    <w:rsid w:val="00B11684"/>
    <w:rsid w:val="00B11B85"/>
    <w:rsid w:val="00B12BF5"/>
    <w:rsid w:val="00B1338D"/>
    <w:rsid w:val="00B13719"/>
    <w:rsid w:val="00B13BA4"/>
    <w:rsid w:val="00B13CC8"/>
    <w:rsid w:val="00B13E7D"/>
    <w:rsid w:val="00B144AE"/>
    <w:rsid w:val="00B14D9E"/>
    <w:rsid w:val="00B15999"/>
    <w:rsid w:val="00B15BF8"/>
    <w:rsid w:val="00B168A0"/>
    <w:rsid w:val="00B16910"/>
    <w:rsid w:val="00B16C04"/>
    <w:rsid w:val="00B16E08"/>
    <w:rsid w:val="00B16E1B"/>
    <w:rsid w:val="00B16E42"/>
    <w:rsid w:val="00B170DB"/>
    <w:rsid w:val="00B17486"/>
    <w:rsid w:val="00B178B3"/>
    <w:rsid w:val="00B1792D"/>
    <w:rsid w:val="00B204DB"/>
    <w:rsid w:val="00B21142"/>
    <w:rsid w:val="00B216AD"/>
    <w:rsid w:val="00B216D1"/>
    <w:rsid w:val="00B21811"/>
    <w:rsid w:val="00B21F57"/>
    <w:rsid w:val="00B22226"/>
    <w:rsid w:val="00B222EF"/>
    <w:rsid w:val="00B22426"/>
    <w:rsid w:val="00B22E83"/>
    <w:rsid w:val="00B23427"/>
    <w:rsid w:val="00B23B6C"/>
    <w:rsid w:val="00B241C2"/>
    <w:rsid w:val="00B24364"/>
    <w:rsid w:val="00B243CD"/>
    <w:rsid w:val="00B24D22"/>
    <w:rsid w:val="00B2504E"/>
    <w:rsid w:val="00B258DA"/>
    <w:rsid w:val="00B25E03"/>
    <w:rsid w:val="00B26034"/>
    <w:rsid w:val="00B26229"/>
    <w:rsid w:val="00B26B5C"/>
    <w:rsid w:val="00B26C7C"/>
    <w:rsid w:val="00B26D33"/>
    <w:rsid w:val="00B27B4C"/>
    <w:rsid w:val="00B30072"/>
    <w:rsid w:val="00B30A28"/>
    <w:rsid w:val="00B311FD"/>
    <w:rsid w:val="00B317DB"/>
    <w:rsid w:val="00B31C02"/>
    <w:rsid w:val="00B3244D"/>
    <w:rsid w:val="00B325EC"/>
    <w:rsid w:val="00B328EA"/>
    <w:rsid w:val="00B32A66"/>
    <w:rsid w:val="00B32BC5"/>
    <w:rsid w:val="00B32EBC"/>
    <w:rsid w:val="00B3318A"/>
    <w:rsid w:val="00B33DC0"/>
    <w:rsid w:val="00B342FD"/>
    <w:rsid w:val="00B345E3"/>
    <w:rsid w:val="00B3495F"/>
    <w:rsid w:val="00B34C37"/>
    <w:rsid w:val="00B3532C"/>
    <w:rsid w:val="00B359C8"/>
    <w:rsid w:val="00B35BAF"/>
    <w:rsid w:val="00B362BB"/>
    <w:rsid w:val="00B363FE"/>
    <w:rsid w:val="00B36906"/>
    <w:rsid w:val="00B36A51"/>
    <w:rsid w:val="00B36D56"/>
    <w:rsid w:val="00B37704"/>
    <w:rsid w:val="00B37A72"/>
    <w:rsid w:val="00B37ACE"/>
    <w:rsid w:val="00B37CCB"/>
    <w:rsid w:val="00B40445"/>
    <w:rsid w:val="00B40AEC"/>
    <w:rsid w:val="00B40DDA"/>
    <w:rsid w:val="00B4157B"/>
    <w:rsid w:val="00B416F7"/>
    <w:rsid w:val="00B41C48"/>
    <w:rsid w:val="00B4221A"/>
    <w:rsid w:val="00B4296D"/>
    <w:rsid w:val="00B42CB0"/>
    <w:rsid w:val="00B43590"/>
    <w:rsid w:val="00B43AEB"/>
    <w:rsid w:val="00B44757"/>
    <w:rsid w:val="00B45896"/>
    <w:rsid w:val="00B45AF0"/>
    <w:rsid w:val="00B45C11"/>
    <w:rsid w:val="00B45DE8"/>
    <w:rsid w:val="00B45F18"/>
    <w:rsid w:val="00B461CA"/>
    <w:rsid w:val="00B464C7"/>
    <w:rsid w:val="00B4674F"/>
    <w:rsid w:val="00B4684E"/>
    <w:rsid w:val="00B47944"/>
    <w:rsid w:val="00B504E4"/>
    <w:rsid w:val="00B50C4F"/>
    <w:rsid w:val="00B50DEF"/>
    <w:rsid w:val="00B5105B"/>
    <w:rsid w:val="00B5117C"/>
    <w:rsid w:val="00B51B02"/>
    <w:rsid w:val="00B51D5E"/>
    <w:rsid w:val="00B520E1"/>
    <w:rsid w:val="00B52480"/>
    <w:rsid w:val="00B52A64"/>
    <w:rsid w:val="00B52AE4"/>
    <w:rsid w:val="00B53531"/>
    <w:rsid w:val="00B53549"/>
    <w:rsid w:val="00B53F05"/>
    <w:rsid w:val="00B54337"/>
    <w:rsid w:val="00B54798"/>
    <w:rsid w:val="00B557E9"/>
    <w:rsid w:val="00B55BA8"/>
    <w:rsid w:val="00B55D1D"/>
    <w:rsid w:val="00B560A7"/>
    <w:rsid w:val="00B56127"/>
    <w:rsid w:val="00B56548"/>
    <w:rsid w:val="00B5688B"/>
    <w:rsid w:val="00B56E51"/>
    <w:rsid w:val="00B57060"/>
    <w:rsid w:val="00B571F0"/>
    <w:rsid w:val="00B573A4"/>
    <w:rsid w:val="00B57EBD"/>
    <w:rsid w:val="00B6160C"/>
    <w:rsid w:val="00B61A16"/>
    <w:rsid w:val="00B620B1"/>
    <w:rsid w:val="00B6223B"/>
    <w:rsid w:val="00B6263B"/>
    <w:rsid w:val="00B62841"/>
    <w:rsid w:val="00B62953"/>
    <w:rsid w:val="00B62AA1"/>
    <w:rsid w:val="00B62AF1"/>
    <w:rsid w:val="00B62F57"/>
    <w:rsid w:val="00B640B7"/>
    <w:rsid w:val="00B6439D"/>
    <w:rsid w:val="00B6510D"/>
    <w:rsid w:val="00B65566"/>
    <w:rsid w:val="00B65776"/>
    <w:rsid w:val="00B65F88"/>
    <w:rsid w:val="00B66CA5"/>
    <w:rsid w:val="00B67368"/>
    <w:rsid w:val="00B67AAE"/>
    <w:rsid w:val="00B67FF7"/>
    <w:rsid w:val="00B705EB"/>
    <w:rsid w:val="00B70CB7"/>
    <w:rsid w:val="00B72E04"/>
    <w:rsid w:val="00B73586"/>
    <w:rsid w:val="00B737AD"/>
    <w:rsid w:val="00B73904"/>
    <w:rsid w:val="00B73D8D"/>
    <w:rsid w:val="00B74144"/>
    <w:rsid w:val="00B74175"/>
    <w:rsid w:val="00B74BAB"/>
    <w:rsid w:val="00B75418"/>
    <w:rsid w:val="00B75A69"/>
    <w:rsid w:val="00B76609"/>
    <w:rsid w:val="00B76C62"/>
    <w:rsid w:val="00B77042"/>
    <w:rsid w:val="00B77994"/>
    <w:rsid w:val="00B8000F"/>
    <w:rsid w:val="00B8011E"/>
    <w:rsid w:val="00B803E6"/>
    <w:rsid w:val="00B81984"/>
    <w:rsid w:val="00B81B19"/>
    <w:rsid w:val="00B81C15"/>
    <w:rsid w:val="00B81DA4"/>
    <w:rsid w:val="00B81F44"/>
    <w:rsid w:val="00B826BA"/>
    <w:rsid w:val="00B83082"/>
    <w:rsid w:val="00B838C9"/>
    <w:rsid w:val="00B846BD"/>
    <w:rsid w:val="00B846D6"/>
    <w:rsid w:val="00B848F0"/>
    <w:rsid w:val="00B85E73"/>
    <w:rsid w:val="00B86227"/>
    <w:rsid w:val="00B86228"/>
    <w:rsid w:val="00B86939"/>
    <w:rsid w:val="00B86A6A"/>
    <w:rsid w:val="00B8706D"/>
    <w:rsid w:val="00B87118"/>
    <w:rsid w:val="00B87136"/>
    <w:rsid w:val="00B871D1"/>
    <w:rsid w:val="00B87621"/>
    <w:rsid w:val="00B87708"/>
    <w:rsid w:val="00B87797"/>
    <w:rsid w:val="00B87AE7"/>
    <w:rsid w:val="00B87CA1"/>
    <w:rsid w:val="00B87D1B"/>
    <w:rsid w:val="00B906DA"/>
    <w:rsid w:val="00B90CA4"/>
    <w:rsid w:val="00B90E4A"/>
    <w:rsid w:val="00B90E70"/>
    <w:rsid w:val="00B90E91"/>
    <w:rsid w:val="00B91AA6"/>
    <w:rsid w:val="00B91DEC"/>
    <w:rsid w:val="00B9277C"/>
    <w:rsid w:val="00B92791"/>
    <w:rsid w:val="00B92D47"/>
    <w:rsid w:val="00B938AF"/>
    <w:rsid w:val="00B93ACF"/>
    <w:rsid w:val="00B94BBB"/>
    <w:rsid w:val="00B95061"/>
    <w:rsid w:val="00B95436"/>
    <w:rsid w:val="00B9546E"/>
    <w:rsid w:val="00B95604"/>
    <w:rsid w:val="00B96136"/>
    <w:rsid w:val="00B963FE"/>
    <w:rsid w:val="00B9645D"/>
    <w:rsid w:val="00B967FF"/>
    <w:rsid w:val="00B96A98"/>
    <w:rsid w:val="00B96AFB"/>
    <w:rsid w:val="00B96B19"/>
    <w:rsid w:val="00B96D81"/>
    <w:rsid w:val="00B96E8B"/>
    <w:rsid w:val="00B97174"/>
    <w:rsid w:val="00B9726F"/>
    <w:rsid w:val="00B9751A"/>
    <w:rsid w:val="00B97CB5"/>
    <w:rsid w:val="00BA0645"/>
    <w:rsid w:val="00BA0905"/>
    <w:rsid w:val="00BA0957"/>
    <w:rsid w:val="00BA0BD3"/>
    <w:rsid w:val="00BA0C2E"/>
    <w:rsid w:val="00BA0E30"/>
    <w:rsid w:val="00BA12EA"/>
    <w:rsid w:val="00BA14F9"/>
    <w:rsid w:val="00BA1537"/>
    <w:rsid w:val="00BA177B"/>
    <w:rsid w:val="00BA1C95"/>
    <w:rsid w:val="00BA28E6"/>
    <w:rsid w:val="00BA35B6"/>
    <w:rsid w:val="00BA35ED"/>
    <w:rsid w:val="00BA3650"/>
    <w:rsid w:val="00BA535D"/>
    <w:rsid w:val="00BA56D3"/>
    <w:rsid w:val="00BA635A"/>
    <w:rsid w:val="00BA653F"/>
    <w:rsid w:val="00BA6815"/>
    <w:rsid w:val="00BA6C6C"/>
    <w:rsid w:val="00BA6DBD"/>
    <w:rsid w:val="00BA6E85"/>
    <w:rsid w:val="00BA6FBA"/>
    <w:rsid w:val="00BA7067"/>
    <w:rsid w:val="00BA7439"/>
    <w:rsid w:val="00BA77E0"/>
    <w:rsid w:val="00BB0FAA"/>
    <w:rsid w:val="00BB145A"/>
    <w:rsid w:val="00BB1968"/>
    <w:rsid w:val="00BB1D81"/>
    <w:rsid w:val="00BB1E9A"/>
    <w:rsid w:val="00BB202D"/>
    <w:rsid w:val="00BB2812"/>
    <w:rsid w:val="00BB2929"/>
    <w:rsid w:val="00BB294E"/>
    <w:rsid w:val="00BB36A8"/>
    <w:rsid w:val="00BB3E79"/>
    <w:rsid w:val="00BB3F03"/>
    <w:rsid w:val="00BB4531"/>
    <w:rsid w:val="00BB45D4"/>
    <w:rsid w:val="00BB56AB"/>
    <w:rsid w:val="00BB5709"/>
    <w:rsid w:val="00BB5A22"/>
    <w:rsid w:val="00BB5E80"/>
    <w:rsid w:val="00BB6011"/>
    <w:rsid w:val="00BB6582"/>
    <w:rsid w:val="00BB65A0"/>
    <w:rsid w:val="00BB69E8"/>
    <w:rsid w:val="00BB6ACD"/>
    <w:rsid w:val="00BB6B4D"/>
    <w:rsid w:val="00BB7019"/>
    <w:rsid w:val="00BB7B59"/>
    <w:rsid w:val="00BB7D83"/>
    <w:rsid w:val="00BB7DE8"/>
    <w:rsid w:val="00BB7F76"/>
    <w:rsid w:val="00BC0297"/>
    <w:rsid w:val="00BC02DF"/>
    <w:rsid w:val="00BC0BDF"/>
    <w:rsid w:val="00BC1579"/>
    <w:rsid w:val="00BC23E3"/>
    <w:rsid w:val="00BC2B69"/>
    <w:rsid w:val="00BC3124"/>
    <w:rsid w:val="00BC397C"/>
    <w:rsid w:val="00BC3BB7"/>
    <w:rsid w:val="00BC4DA2"/>
    <w:rsid w:val="00BC5269"/>
    <w:rsid w:val="00BC5A02"/>
    <w:rsid w:val="00BC5E0D"/>
    <w:rsid w:val="00BC6AF4"/>
    <w:rsid w:val="00BC7099"/>
    <w:rsid w:val="00BC71CD"/>
    <w:rsid w:val="00BC77AB"/>
    <w:rsid w:val="00BD0740"/>
    <w:rsid w:val="00BD09E1"/>
    <w:rsid w:val="00BD131F"/>
    <w:rsid w:val="00BD39C0"/>
    <w:rsid w:val="00BD3D76"/>
    <w:rsid w:val="00BD3F30"/>
    <w:rsid w:val="00BD4475"/>
    <w:rsid w:val="00BD4A42"/>
    <w:rsid w:val="00BD50D3"/>
    <w:rsid w:val="00BD6EA7"/>
    <w:rsid w:val="00BD6F42"/>
    <w:rsid w:val="00BD72B1"/>
    <w:rsid w:val="00BD7593"/>
    <w:rsid w:val="00BE0152"/>
    <w:rsid w:val="00BE01B6"/>
    <w:rsid w:val="00BE038A"/>
    <w:rsid w:val="00BE048E"/>
    <w:rsid w:val="00BE09D2"/>
    <w:rsid w:val="00BE1A89"/>
    <w:rsid w:val="00BE2576"/>
    <w:rsid w:val="00BE2ABC"/>
    <w:rsid w:val="00BE2E7D"/>
    <w:rsid w:val="00BE37A5"/>
    <w:rsid w:val="00BE3AEB"/>
    <w:rsid w:val="00BE40B9"/>
    <w:rsid w:val="00BE4535"/>
    <w:rsid w:val="00BE47B6"/>
    <w:rsid w:val="00BE4A50"/>
    <w:rsid w:val="00BE4AF7"/>
    <w:rsid w:val="00BE4DE4"/>
    <w:rsid w:val="00BE5D2F"/>
    <w:rsid w:val="00BE60C6"/>
    <w:rsid w:val="00BE6148"/>
    <w:rsid w:val="00BE67CF"/>
    <w:rsid w:val="00BE68B8"/>
    <w:rsid w:val="00BE6CE2"/>
    <w:rsid w:val="00BE6CFD"/>
    <w:rsid w:val="00BE6E5C"/>
    <w:rsid w:val="00BE6E6B"/>
    <w:rsid w:val="00BE6F56"/>
    <w:rsid w:val="00BE722A"/>
    <w:rsid w:val="00BE7411"/>
    <w:rsid w:val="00BF018E"/>
    <w:rsid w:val="00BF02A5"/>
    <w:rsid w:val="00BF03F7"/>
    <w:rsid w:val="00BF201B"/>
    <w:rsid w:val="00BF2402"/>
    <w:rsid w:val="00BF2A2C"/>
    <w:rsid w:val="00BF2ABE"/>
    <w:rsid w:val="00BF2CB5"/>
    <w:rsid w:val="00BF3178"/>
    <w:rsid w:val="00BF357C"/>
    <w:rsid w:val="00BF37B5"/>
    <w:rsid w:val="00BF3853"/>
    <w:rsid w:val="00BF3AD3"/>
    <w:rsid w:val="00BF4216"/>
    <w:rsid w:val="00BF44C9"/>
    <w:rsid w:val="00BF4A41"/>
    <w:rsid w:val="00BF5063"/>
    <w:rsid w:val="00BF51EE"/>
    <w:rsid w:val="00BF545E"/>
    <w:rsid w:val="00BF5B24"/>
    <w:rsid w:val="00BF5DC2"/>
    <w:rsid w:val="00BF5E17"/>
    <w:rsid w:val="00BF6C19"/>
    <w:rsid w:val="00BF71CD"/>
    <w:rsid w:val="00BF7260"/>
    <w:rsid w:val="00BF7923"/>
    <w:rsid w:val="00BF7E89"/>
    <w:rsid w:val="00C001AD"/>
    <w:rsid w:val="00C00511"/>
    <w:rsid w:val="00C00701"/>
    <w:rsid w:val="00C00822"/>
    <w:rsid w:val="00C00B9F"/>
    <w:rsid w:val="00C00F31"/>
    <w:rsid w:val="00C015EC"/>
    <w:rsid w:val="00C017EC"/>
    <w:rsid w:val="00C01CDB"/>
    <w:rsid w:val="00C02634"/>
    <w:rsid w:val="00C02A9E"/>
    <w:rsid w:val="00C02B0A"/>
    <w:rsid w:val="00C02C73"/>
    <w:rsid w:val="00C02D63"/>
    <w:rsid w:val="00C035A7"/>
    <w:rsid w:val="00C039D5"/>
    <w:rsid w:val="00C03B95"/>
    <w:rsid w:val="00C04205"/>
    <w:rsid w:val="00C04B62"/>
    <w:rsid w:val="00C04CE9"/>
    <w:rsid w:val="00C05208"/>
    <w:rsid w:val="00C05323"/>
    <w:rsid w:val="00C05521"/>
    <w:rsid w:val="00C065B6"/>
    <w:rsid w:val="00C07041"/>
    <w:rsid w:val="00C07100"/>
    <w:rsid w:val="00C073CD"/>
    <w:rsid w:val="00C0759D"/>
    <w:rsid w:val="00C078E5"/>
    <w:rsid w:val="00C079B6"/>
    <w:rsid w:val="00C10136"/>
    <w:rsid w:val="00C10682"/>
    <w:rsid w:val="00C10B1F"/>
    <w:rsid w:val="00C11108"/>
    <w:rsid w:val="00C11244"/>
    <w:rsid w:val="00C11449"/>
    <w:rsid w:val="00C11E4E"/>
    <w:rsid w:val="00C11FF0"/>
    <w:rsid w:val="00C122B5"/>
    <w:rsid w:val="00C132DE"/>
    <w:rsid w:val="00C13712"/>
    <w:rsid w:val="00C13911"/>
    <w:rsid w:val="00C1428B"/>
    <w:rsid w:val="00C1444C"/>
    <w:rsid w:val="00C15056"/>
    <w:rsid w:val="00C15524"/>
    <w:rsid w:val="00C157CE"/>
    <w:rsid w:val="00C1580E"/>
    <w:rsid w:val="00C15B46"/>
    <w:rsid w:val="00C161EA"/>
    <w:rsid w:val="00C16329"/>
    <w:rsid w:val="00C16D29"/>
    <w:rsid w:val="00C171A1"/>
    <w:rsid w:val="00C17269"/>
    <w:rsid w:val="00C17694"/>
    <w:rsid w:val="00C17E31"/>
    <w:rsid w:val="00C200E4"/>
    <w:rsid w:val="00C203FB"/>
    <w:rsid w:val="00C2043D"/>
    <w:rsid w:val="00C20650"/>
    <w:rsid w:val="00C20883"/>
    <w:rsid w:val="00C20A25"/>
    <w:rsid w:val="00C2104B"/>
    <w:rsid w:val="00C21076"/>
    <w:rsid w:val="00C2125D"/>
    <w:rsid w:val="00C2216D"/>
    <w:rsid w:val="00C22F7F"/>
    <w:rsid w:val="00C22FC8"/>
    <w:rsid w:val="00C24069"/>
    <w:rsid w:val="00C245F6"/>
    <w:rsid w:val="00C24A97"/>
    <w:rsid w:val="00C24B43"/>
    <w:rsid w:val="00C24D75"/>
    <w:rsid w:val="00C257C1"/>
    <w:rsid w:val="00C2603A"/>
    <w:rsid w:val="00C26175"/>
    <w:rsid w:val="00C26C3A"/>
    <w:rsid w:val="00C26DED"/>
    <w:rsid w:val="00C26FBF"/>
    <w:rsid w:val="00C271A6"/>
    <w:rsid w:val="00C271F4"/>
    <w:rsid w:val="00C272D1"/>
    <w:rsid w:val="00C27412"/>
    <w:rsid w:val="00C30777"/>
    <w:rsid w:val="00C313B2"/>
    <w:rsid w:val="00C31516"/>
    <w:rsid w:val="00C315B0"/>
    <w:rsid w:val="00C3175D"/>
    <w:rsid w:val="00C31A55"/>
    <w:rsid w:val="00C31F74"/>
    <w:rsid w:val="00C3243C"/>
    <w:rsid w:val="00C325BA"/>
    <w:rsid w:val="00C327A8"/>
    <w:rsid w:val="00C3305C"/>
    <w:rsid w:val="00C334AC"/>
    <w:rsid w:val="00C33C8D"/>
    <w:rsid w:val="00C33F08"/>
    <w:rsid w:val="00C3482A"/>
    <w:rsid w:val="00C3586F"/>
    <w:rsid w:val="00C35BE0"/>
    <w:rsid w:val="00C35EB2"/>
    <w:rsid w:val="00C35F93"/>
    <w:rsid w:val="00C36394"/>
    <w:rsid w:val="00C36EA0"/>
    <w:rsid w:val="00C37804"/>
    <w:rsid w:val="00C37AA8"/>
    <w:rsid w:val="00C37DB2"/>
    <w:rsid w:val="00C40460"/>
    <w:rsid w:val="00C405DC"/>
    <w:rsid w:val="00C40E5E"/>
    <w:rsid w:val="00C4131A"/>
    <w:rsid w:val="00C41DC7"/>
    <w:rsid w:val="00C424A6"/>
    <w:rsid w:val="00C42678"/>
    <w:rsid w:val="00C42ACB"/>
    <w:rsid w:val="00C4448D"/>
    <w:rsid w:val="00C44A22"/>
    <w:rsid w:val="00C44CF4"/>
    <w:rsid w:val="00C46430"/>
    <w:rsid w:val="00C46CE9"/>
    <w:rsid w:val="00C46D53"/>
    <w:rsid w:val="00C46DDF"/>
    <w:rsid w:val="00C46FAE"/>
    <w:rsid w:val="00C4706E"/>
    <w:rsid w:val="00C479E4"/>
    <w:rsid w:val="00C50409"/>
    <w:rsid w:val="00C5052E"/>
    <w:rsid w:val="00C5063F"/>
    <w:rsid w:val="00C50881"/>
    <w:rsid w:val="00C50E5A"/>
    <w:rsid w:val="00C50F9F"/>
    <w:rsid w:val="00C5104C"/>
    <w:rsid w:val="00C51521"/>
    <w:rsid w:val="00C51996"/>
    <w:rsid w:val="00C51D0C"/>
    <w:rsid w:val="00C52001"/>
    <w:rsid w:val="00C52C0C"/>
    <w:rsid w:val="00C53A5A"/>
    <w:rsid w:val="00C54060"/>
    <w:rsid w:val="00C5499C"/>
    <w:rsid w:val="00C54A39"/>
    <w:rsid w:val="00C54D25"/>
    <w:rsid w:val="00C54DDF"/>
    <w:rsid w:val="00C5582F"/>
    <w:rsid w:val="00C56198"/>
    <w:rsid w:val="00C5635B"/>
    <w:rsid w:val="00C56445"/>
    <w:rsid w:val="00C56720"/>
    <w:rsid w:val="00C56AD2"/>
    <w:rsid w:val="00C56B16"/>
    <w:rsid w:val="00C5721D"/>
    <w:rsid w:val="00C6023F"/>
    <w:rsid w:val="00C606E4"/>
    <w:rsid w:val="00C60749"/>
    <w:rsid w:val="00C609AD"/>
    <w:rsid w:val="00C60B96"/>
    <w:rsid w:val="00C60C05"/>
    <w:rsid w:val="00C60E2B"/>
    <w:rsid w:val="00C61579"/>
    <w:rsid w:val="00C616BB"/>
    <w:rsid w:val="00C618AE"/>
    <w:rsid w:val="00C61BE0"/>
    <w:rsid w:val="00C61C1F"/>
    <w:rsid w:val="00C61D8F"/>
    <w:rsid w:val="00C61F0F"/>
    <w:rsid w:val="00C62408"/>
    <w:rsid w:val="00C62AA9"/>
    <w:rsid w:val="00C62AB5"/>
    <w:rsid w:val="00C631C7"/>
    <w:rsid w:val="00C63309"/>
    <w:rsid w:val="00C635D7"/>
    <w:rsid w:val="00C637F2"/>
    <w:rsid w:val="00C638B8"/>
    <w:rsid w:val="00C63C45"/>
    <w:rsid w:val="00C6498B"/>
    <w:rsid w:val="00C64998"/>
    <w:rsid w:val="00C64DE0"/>
    <w:rsid w:val="00C66529"/>
    <w:rsid w:val="00C6670C"/>
    <w:rsid w:val="00C66DF4"/>
    <w:rsid w:val="00C66E55"/>
    <w:rsid w:val="00C66F96"/>
    <w:rsid w:val="00C673CC"/>
    <w:rsid w:val="00C6793C"/>
    <w:rsid w:val="00C70F52"/>
    <w:rsid w:val="00C717A5"/>
    <w:rsid w:val="00C71AEF"/>
    <w:rsid w:val="00C71B1B"/>
    <w:rsid w:val="00C71C2F"/>
    <w:rsid w:val="00C724BA"/>
    <w:rsid w:val="00C7261D"/>
    <w:rsid w:val="00C72E64"/>
    <w:rsid w:val="00C731DF"/>
    <w:rsid w:val="00C73236"/>
    <w:rsid w:val="00C73767"/>
    <w:rsid w:val="00C74EE8"/>
    <w:rsid w:val="00C75466"/>
    <w:rsid w:val="00C75BB0"/>
    <w:rsid w:val="00C761BF"/>
    <w:rsid w:val="00C762BD"/>
    <w:rsid w:val="00C76616"/>
    <w:rsid w:val="00C76C69"/>
    <w:rsid w:val="00C77FF7"/>
    <w:rsid w:val="00C8023A"/>
    <w:rsid w:val="00C8046A"/>
    <w:rsid w:val="00C8048F"/>
    <w:rsid w:val="00C80E98"/>
    <w:rsid w:val="00C80F8E"/>
    <w:rsid w:val="00C81220"/>
    <w:rsid w:val="00C81884"/>
    <w:rsid w:val="00C81905"/>
    <w:rsid w:val="00C8190C"/>
    <w:rsid w:val="00C81D76"/>
    <w:rsid w:val="00C823A6"/>
    <w:rsid w:val="00C82EB7"/>
    <w:rsid w:val="00C834F1"/>
    <w:rsid w:val="00C83578"/>
    <w:rsid w:val="00C83850"/>
    <w:rsid w:val="00C84114"/>
    <w:rsid w:val="00C856BD"/>
    <w:rsid w:val="00C857EE"/>
    <w:rsid w:val="00C8590E"/>
    <w:rsid w:val="00C85C5C"/>
    <w:rsid w:val="00C85E72"/>
    <w:rsid w:val="00C85FFB"/>
    <w:rsid w:val="00C86603"/>
    <w:rsid w:val="00C86618"/>
    <w:rsid w:val="00C86FAB"/>
    <w:rsid w:val="00C87050"/>
    <w:rsid w:val="00C8733E"/>
    <w:rsid w:val="00C87825"/>
    <w:rsid w:val="00C878EB"/>
    <w:rsid w:val="00C87D70"/>
    <w:rsid w:val="00C87E29"/>
    <w:rsid w:val="00C87E38"/>
    <w:rsid w:val="00C87F68"/>
    <w:rsid w:val="00C90153"/>
    <w:rsid w:val="00C905D6"/>
    <w:rsid w:val="00C90DF3"/>
    <w:rsid w:val="00C90ED3"/>
    <w:rsid w:val="00C91612"/>
    <w:rsid w:val="00C91978"/>
    <w:rsid w:val="00C924A3"/>
    <w:rsid w:val="00C9274C"/>
    <w:rsid w:val="00C92D1B"/>
    <w:rsid w:val="00C92D2F"/>
    <w:rsid w:val="00C92D76"/>
    <w:rsid w:val="00C92FA2"/>
    <w:rsid w:val="00C93130"/>
    <w:rsid w:val="00C933AC"/>
    <w:rsid w:val="00C93A63"/>
    <w:rsid w:val="00C93A82"/>
    <w:rsid w:val="00C93D93"/>
    <w:rsid w:val="00C93E69"/>
    <w:rsid w:val="00C949E2"/>
    <w:rsid w:val="00C94EEE"/>
    <w:rsid w:val="00C956A9"/>
    <w:rsid w:val="00C95D6F"/>
    <w:rsid w:val="00C96215"/>
    <w:rsid w:val="00C9660C"/>
    <w:rsid w:val="00C97534"/>
    <w:rsid w:val="00C97CFF"/>
    <w:rsid w:val="00CA08B5"/>
    <w:rsid w:val="00CA0CEF"/>
    <w:rsid w:val="00CA1410"/>
    <w:rsid w:val="00CA160E"/>
    <w:rsid w:val="00CA17AE"/>
    <w:rsid w:val="00CA1C77"/>
    <w:rsid w:val="00CA223D"/>
    <w:rsid w:val="00CA22CC"/>
    <w:rsid w:val="00CA23BC"/>
    <w:rsid w:val="00CA2476"/>
    <w:rsid w:val="00CA2646"/>
    <w:rsid w:val="00CA2880"/>
    <w:rsid w:val="00CA2B4E"/>
    <w:rsid w:val="00CA2DA6"/>
    <w:rsid w:val="00CA2FDF"/>
    <w:rsid w:val="00CA30FA"/>
    <w:rsid w:val="00CA321F"/>
    <w:rsid w:val="00CA330B"/>
    <w:rsid w:val="00CA39D8"/>
    <w:rsid w:val="00CA3BA2"/>
    <w:rsid w:val="00CA3CC7"/>
    <w:rsid w:val="00CA3D3F"/>
    <w:rsid w:val="00CA3D80"/>
    <w:rsid w:val="00CA47D0"/>
    <w:rsid w:val="00CA57A7"/>
    <w:rsid w:val="00CA5EE0"/>
    <w:rsid w:val="00CA6111"/>
    <w:rsid w:val="00CA622C"/>
    <w:rsid w:val="00CA6306"/>
    <w:rsid w:val="00CA64B7"/>
    <w:rsid w:val="00CA6A6C"/>
    <w:rsid w:val="00CA6D75"/>
    <w:rsid w:val="00CA6FDD"/>
    <w:rsid w:val="00CA73DD"/>
    <w:rsid w:val="00CA7FB2"/>
    <w:rsid w:val="00CB061E"/>
    <w:rsid w:val="00CB16F7"/>
    <w:rsid w:val="00CB29C0"/>
    <w:rsid w:val="00CB29CE"/>
    <w:rsid w:val="00CB2E26"/>
    <w:rsid w:val="00CB2EDB"/>
    <w:rsid w:val="00CB35A2"/>
    <w:rsid w:val="00CB387B"/>
    <w:rsid w:val="00CB3C12"/>
    <w:rsid w:val="00CB3E6D"/>
    <w:rsid w:val="00CB3F82"/>
    <w:rsid w:val="00CB43D1"/>
    <w:rsid w:val="00CB47C3"/>
    <w:rsid w:val="00CB52B1"/>
    <w:rsid w:val="00CB55B5"/>
    <w:rsid w:val="00CB5887"/>
    <w:rsid w:val="00CB58AB"/>
    <w:rsid w:val="00CB58F3"/>
    <w:rsid w:val="00CB5A6F"/>
    <w:rsid w:val="00CB5D98"/>
    <w:rsid w:val="00CB5E4D"/>
    <w:rsid w:val="00CB630C"/>
    <w:rsid w:val="00CB7255"/>
    <w:rsid w:val="00CB729E"/>
    <w:rsid w:val="00CB730D"/>
    <w:rsid w:val="00CB7366"/>
    <w:rsid w:val="00CB7F18"/>
    <w:rsid w:val="00CC0240"/>
    <w:rsid w:val="00CC0741"/>
    <w:rsid w:val="00CC0846"/>
    <w:rsid w:val="00CC0EE1"/>
    <w:rsid w:val="00CC17D9"/>
    <w:rsid w:val="00CC2A54"/>
    <w:rsid w:val="00CC2C3A"/>
    <w:rsid w:val="00CC30CA"/>
    <w:rsid w:val="00CC33AB"/>
    <w:rsid w:val="00CC3455"/>
    <w:rsid w:val="00CC345A"/>
    <w:rsid w:val="00CC34D4"/>
    <w:rsid w:val="00CC35CA"/>
    <w:rsid w:val="00CC3C46"/>
    <w:rsid w:val="00CC4111"/>
    <w:rsid w:val="00CC4306"/>
    <w:rsid w:val="00CC4485"/>
    <w:rsid w:val="00CC5995"/>
    <w:rsid w:val="00CC63B1"/>
    <w:rsid w:val="00CC7CCD"/>
    <w:rsid w:val="00CC7F40"/>
    <w:rsid w:val="00CD0096"/>
    <w:rsid w:val="00CD11E0"/>
    <w:rsid w:val="00CD140C"/>
    <w:rsid w:val="00CD1A87"/>
    <w:rsid w:val="00CD1DBE"/>
    <w:rsid w:val="00CD1F48"/>
    <w:rsid w:val="00CD240D"/>
    <w:rsid w:val="00CD247A"/>
    <w:rsid w:val="00CD3033"/>
    <w:rsid w:val="00CD3283"/>
    <w:rsid w:val="00CD3496"/>
    <w:rsid w:val="00CD3598"/>
    <w:rsid w:val="00CD3762"/>
    <w:rsid w:val="00CD3784"/>
    <w:rsid w:val="00CD39C3"/>
    <w:rsid w:val="00CD400A"/>
    <w:rsid w:val="00CD412B"/>
    <w:rsid w:val="00CD48B1"/>
    <w:rsid w:val="00CD49E1"/>
    <w:rsid w:val="00CD4DC1"/>
    <w:rsid w:val="00CD562C"/>
    <w:rsid w:val="00CD586A"/>
    <w:rsid w:val="00CD6644"/>
    <w:rsid w:val="00CD75E3"/>
    <w:rsid w:val="00CD76F2"/>
    <w:rsid w:val="00CD7781"/>
    <w:rsid w:val="00CD78BB"/>
    <w:rsid w:val="00CD7C5E"/>
    <w:rsid w:val="00CD7E63"/>
    <w:rsid w:val="00CE003E"/>
    <w:rsid w:val="00CE069E"/>
    <w:rsid w:val="00CE06D9"/>
    <w:rsid w:val="00CE199C"/>
    <w:rsid w:val="00CE1B8B"/>
    <w:rsid w:val="00CE1E5F"/>
    <w:rsid w:val="00CE208D"/>
    <w:rsid w:val="00CE2240"/>
    <w:rsid w:val="00CE29A8"/>
    <w:rsid w:val="00CE2A1B"/>
    <w:rsid w:val="00CE2FC8"/>
    <w:rsid w:val="00CE2FFF"/>
    <w:rsid w:val="00CE30BE"/>
    <w:rsid w:val="00CE31BE"/>
    <w:rsid w:val="00CE32EA"/>
    <w:rsid w:val="00CE3386"/>
    <w:rsid w:val="00CE37BE"/>
    <w:rsid w:val="00CE3822"/>
    <w:rsid w:val="00CE384D"/>
    <w:rsid w:val="00CE3D96"/>
    <w:rsid w:val="00CE3DCE"/>
    <w:rsid w:val="00CE4E6E"/>
    <w:rsid w:val="00CE501B"/>
    <w:rsid w:val="00CE50D0"/>
    <w:rsid w:val="00CE51AC"/>
    <w:rsid w:val="00CE5374"/>
    <w:rsid w:val="00CE5915"/>
    <w:rsid w:val="00CE5D97"/>
    <w:rsid w:val="00CE5EC8"/>
    <w:rsid w:val="00CF025F"/>
    <w:rsid w:val="00CF0484"/>
    <w:rsid w:val="00CF0700"/>
    <w:rsid w:val="00CF0E81"/>
    <w:rsid w:val="00CF10B2"/>
    <w:rsid w:val="00CF13CC"/>
    <w:rsid w:val="00CF16D4"/>
    <w:rsid w:val="00CF1896"/>
    <w:rsid w:val="00CF2164"/>
    <w:rsid w:val="00CF28DF"/>
    <w:rsid w:val="00CF2CB7"/>
    <w:rsid w:val="00CF307B"/>
    <w:rsid w:val="00CF47EF"/>
    <w:rsid w:val="00CF4D4C"/>
    <w:rsid w:val="00CF5EB9"/>
    <w:rsid w:val="00CF5F81"/>
    <w:rsid w:val="00CF6057"/>
    <w:rsid w:val="00CF6692"/>
    <w:rsid w:val="00CF718F"/>
    <w:rsid w:val="00CF7AD5"/>
    <w:rsid w:val="00D00D9C"/>
    <w:rsid w:val="00D0108E"/>
    <w:rsid w:val="00D0140A"/>
    <w:rsid w:val="00D0317A"/>
    <w:rsid w:val="00D03906"/>
    <w:rsid w:val="00D03ED3"/>
    <w:rsid w:val="00D04157"/>
    <w:rsid w:val="00D0439D"/>
    <w:rsid w:val="00D04E50"/>
    <w:rsid w:val="00D04F32"/>
    <w:rsid w:val="00D06AD1"/>
    <w:rsid w:val="00D06D19"/>
    <w:rsid w:val="00D06EED"/>
    <w:rsid w:val="00D07220"/>
    <w:rsid w:val="00D07DE0"/>
    <w:rsid w:val="00D104F3"/>
    <w:rsid w:val="00D10CF2"/>
    <w:rsid w:val="00D10D44"/>
    <w:rsid w:val="00D127D1"/>
    <w:rsid w:val="00D12854"/>
    <w:rsid w:val="00D1373A"/>
    <w:rsid w:val="00D1377F"/>
    <w:rsid w:val="00D13FA5"/>
    <w:rsid w:val="00D14396"/>
    <w:rsid w:val="00D14463"/>
    <w:rsid w:val="00D14B99"/>
    <w:rsid w:val="00D1537A"/>
    <w:rsid w:val="00D15760"/>
    <w:rsid w:val="00D15897"/>
    <w:rsid w:val="00D163EA"/>
    <w:rsid w:val="00D16494"/>
    <w:rsid w:val="00D167C3"/>
    <w:rsid w:val="00D17426"/>
    <w:rsid w:val="00D17BFF"/>
    <w:rsid w:val="00D17C23"/>
    <w:rsid w:val="00D17F1B"/>
    <w:rsid w:val="00D17FCD"/>
    <w:rsid w:val="00D17FFC"/>
    <w:rsid w:val="00D2032F"/>
    <w:rsid w:val="00D2053F"/>
    <w:rsid w:val="00D20A6F"/>
    <w:rsid w:val="00D21532"/>
    <w:rsid w:val="00D21611"/>
    <w:rsid w:val="00D216BB"/>
    <w:rsid w:val="00D2176E"/>
    <w:rsid w:val="00D21A78"/>
    <w:rsid w:val="00D21CD2"/>
    <w:rsid w:val="00D22C33"/>
    <w:rsid w:val="00D22C56"/>
    <w:rsid w:val="00D23768"/>
    <w:rsid w:val="00D23940"/>
    <w:rsid w:val="00D245D0"/>
    <w:rsid w:val="00D24C94"/>
    <w:rsid w:val="00D25609"/>
    <w:rsid w:val="00D25C23"/>
    <w:rsid w:val="00D25DA3"/>
    <w:rsid w:val="00D26863"/>
    <w:rsid w:val="00D269B2"/>
    <w:rsid w:val="00D26AB5"/>
    <w:rsid w:val="00D30183"/>
    <w:rsid w:val="00D3124F"/>
    <w:rsid w:val="00D3132B"/>
    <w:rsid w:val="00D31490"/>
    <w:rsid w:val="00D31883"/>
    <w:rsid w:val="00D31BDE"/>
    <w:rsid w:val="00D31C69"/>
    <w:rsid w:val="00D320B1"/>
    <w:rsid w:val="00D323F7"/>
    <w:rsid w:val="00D324AD"/>
    <w:rsid w:val="00D32593"/>
    <w:rsid w:val="00D32597"/>
    <w:rsid w:val="00D342B8"/>
    <w:rsid w:val="00D346CE"/>
    <w:rsid w:val="00D346E8"/>
    <w:rsid w:val="00D34833"/>
    <w:rsid w:val="00D357E3"/>
    <w:rsid w:val="00D35D96"/>
    <w:rsid w:val="00D36364"/>
    <w:rsid w:val="00D367E6"/>
    <w:rsid w:val="00D3690E"/>
    <w:rsid w:val="00D370B7"/>
    <w:rsid w:val="00D3717D"/>
    <w:rsid w:val="00D371AE"/>
    <w:rsid w:val="00D3781D"/>
    <w:rsid w:val="00D3793E"/>
    <w:rsid w:val="00D37A24"/>
    <w:rsid w:val="00D37E9D"/>
    <w:rsid w:val="00D40FD3"/>
    <w:rsid w:val="00D4107C"/>
    <w:rsid w:val="00D4120A"/>
    <w:rsid w:val="00D4169F"/>
    <w:rsid w:val="00D419B8"/>
    <w:rsid w:val="00D41CF8"/>
    <w:rsid w:val="00D41DEC"/>
    <w:rsid w:val="00D4229E"/>
    <w:rsid w:val="00D42484"/>
    <w:rsid w:val="00D4260A"/>
    <w:rsid w:val="00D428FA"/>
    <w:rsid w:val="00D430E0"/>
    <w:rsid w:val="00D433EA"/>
    <w:rsid w:val="00D43737"/>
    <w:rsid w:val="00D43C17"/>
    <w:rsid w:val="00D443FC"/>
    <w:rsid w:val="00D444A3"/>
    <w:rsid w:val="00D44920"/>
    <w:rsid w:val="00D4522C"/>
    <w:rsid w:val="00D455B3"/>
    <w:rsid w:val="00D45C11"/>
    <w:rsid w:val="00D45E77"/>
    <w:rsid w:val="00D461C6"/>
    <w:rsid w:val="00D46271"/>
    <w:rsid w:val="00D462A3"/>
    <w:rsid w:val="00D46352"/>
    <w:rsid w:val="00D4695F"/>
    <w:rsid w:val="00D46AE1"/>
    <w:rsid w:val="00D47037"/>
    <w:rsid w:val="00D47354"/>
    <w:rsid w:val="00D50088"/>
    <w:rsid w:val="00D509F1"/>
    <w:rsid w:val="00D50E44"/>
    <w:rsid w:val="00D50F4E"/>
    <w:rsid w:val="00D5188E"/>
    <w:rsid w:val="00D51AAB"/>
    <w:rsid w:val="00D520BE"/>
    <w:rsid w:val="00D526D6"/>
    <w:rsid w:val="00D52861"/>
    <w:rsid w:val="00D529B7"/>
    <w:rsid w:val="00D52A51"/>
    <w:rsid w:val="00D52BA7"/>
    <w:rsid w:val="00D53001"/>
    <w:rsid w:val="00D5323B"/>
    <w:rsid w:val="00D5385E"/>
    <w:rsid w:val="00D541EA"/>
    <w:rsid w:val="00D54279"/>
    <w:rsid w:val="00D55477"/>
    <w:rsid w:val="00D554D3"/>
    <w:rsid w:val="00D557C6"/>
    <w:rsid w:val="00D55837"/>
    <w:rsid w:val="00D559B6"/>
    <w:rsid w:val="00D559F4"/>
    <w:rsid w:val="00D56353"/>
    <w:rsid w:val="00D5683A"/>
    <w:rsid w:val="00D5688A"/>
    <w:rsid w:val="00D56D62"/>
    <w:rsid w:val="00D56D9C"/>
    <w:rsid w:val="00D56FAC"/>
    <w:rsid w:val="00D57400"/>
    <w:rsid w:val="00D57693"/>
    <w:rsid w:val="00D577A2"/>
    <w:rsid w:val="00D57C56"/>
    <w:rsid w:val="00D60C08"/>
    <w:rsid w:val="00D60CEE"/>
    <w:rsid w:val="00D610B7"/>
    <w:rsid w:val="00D6133A"/>
    <w:rsid w:val="00D6172A"/>
    <w:rsid w:val="00D618B0"/>
    <w:rsid w:val="00D61B92"/>
    <w:rsid w:val="00D61D7E"/>
    <w:rsid w:val="00D6257B"/>
    <w:rsid w:val="00D62E37"/>
    <w:rsid w:val="00D638E3"/>
    <w:rsid w:val="00D63A32"/>
    <w:rsid w:val="00D63BE3"/>
    <w:rsid w:val="00D64608"/>
    <w:rsid w:val="00D648EE"/>
    <w:rsid w:val="00D6490C"/>
    <w:rsid w:val="00D6502B"/>
    <w:rsid w:val="00D65AEE"/>
    <w:rsid w:val="00D65B93"/>
    <w:rsid w:val="00D65C4B"/>
    <w:rsid w:val="00D66660"/>
    <w:rsid w:val="00D6685D"/>
    <w:rsid w:val="00D66974"/>
    <w:rsid w:val="00D66D22"/>
    <w:rsid w:val="00D66EA9"/>
    <w:rsid w:val="00D67C79"/>
    <w:rsid w:val="00D702C7"/>
    <w:rsid w:val="00D703E5"/>
    <w:rsid w:val="00D70AFC"/>
    <w:rsid w:val="00D70B77"/>
    <w:rsid w:val="00D70C59"/>
    <w:rsid w:val="00D71F54"/>
    <w:rsid w:val="00D726BD"/>
    <w:rsid w:val="00D7289C"/>
    <w:rsid w:val="00D728DB"/>
    <w:rsid w:val="00D72AE6"/>
    <w:rsid w:val="00D72B9B"/>
    <w:rsid w:val="00D72D0B"/>
    <w:rsid w:val="00D72EDE"/>
    <w:rsid w:val="00D73C18"/>
    <w:rsid w:val="00D73DFE"/>
    <w:rsid w:val="00D7423F"/>
    <w:rsid w:val="00D7430A"/>
    <w:rsid w:val="00D7488F"/>
    <w:rsid w:val="00D7555C"/>
    <w:rsid w:val="00D75A30"/>
    <w:rsid w:val="00D762E1"/>
    <w:rsid w:val="00D76573"/>
    <w:rsid w:val="00D7691D"/>
    <w:rsid w:val="00D77323"/>
    <w:rsid w:val="00D77ACE"/>
    <w:rsid w:val="00D77B5E"/>
    <w:rsid w:val="00D77E35"/>
    <w:rsid w:val="00D800FB"/>
    <w:rsid w:val="00D8039F"/>
    <w:rsid w:val="00D8056B"/>
    <w:rsid w:val="00D8075A"/>
    <w:rsid w:val="00D812F6"/>
    <w:rsid w:val="00D81EE8"/>
    <w:rsid w:val="00D8231D"/>
    <w:rsid w:val="00D82497"/>
    <w:rsid w:val="00D827A8"/>
    <w:rsid w:val="00D82924"/>
    <w:rsid w:val="00D82B75"/>
    <w:rsid w:val="00D82E68"/>
    <w:rsid w:val="00D8314E"/>
    <w:rsid w:val="00D83495"/>
    <w:rsid w:val="00D83A96"/>
    <w:rsid w:val="00D8462A"/>
    <w:rsid w:val="00D84770"/>
    <w:rsid w:val="00D852B2"/>
    <w:rsid w:val="00D85646"/>
    <w:rsid w:val="00D85AFE"/>
    <w:rsid w:val="00D85CD3"/>
    <w:rsid w:val="00D85E7B"/>
    <w:rsid w:val="00D863C1"/>
    <w:rsid w:val="00D868D7"/>
    <w:rsid w:val="00D86D6E"/>
    <w:rsid w:val="00D873A3"/>
    <w:rsid w:val="00D87F48"/>
    <w:rsid w:val="00D9125A"/>
    <w:rsid w:val="00D91655"/>
    <w:rsid w:val="00D9233C"/>
    <w:rsid w:val="00D9293C"/>
    <w:rsid w:val="00D92B44"/>
    <w:rsid w:val="00D92E4F"/>
    <w:rsid w:val="00D92EC5"/>
    <w:rsid w:val="00D94563"/>
    <w:rsid w:val="00D949C2"/>
    <w:rsid w:val="00D9528C"/>
    <w:rsid w:val="00D95359"/>
    <w:rsid w:val="00D95BB6"/>
    <w:rsid w:val="00D95D92"/>
    <w:rsid w:val="00D9681E"/>
    <w:rsid w:val="00D96FB3"/>
    <w:rsid w:val="00D97712"/>
    <w:rsid w:val="00D97873"/>
    <w:rsid w:val="00D97B70"/>
    <w:rsid w:val="00D97BB7"/>
    <w:rsid w:val="00D97DCF"/>
    <w:rsid w:val="00DA0BA9"/>
    <w:rsid w:val="00DA0F62"/>
    <w:rsid w:val="00DA17B5"/>
    <w:rsid w:val="00DA1FE1"/>
    <w:rsid w:val="00DA2379"/>
    <w:rsid w:val="00DA2632"/>
    <w:rsid w:val="00DA2719"/>
    <w:rsid w:val="00DA2CF8"/>
    <w:rsid w:val="00DA2EF8"/>
    <w:rsid w:val="00DA3026"/>
    <w:rsid w:val="00DA3735"/>
    <w:rsid w:val="00DA37DA"/>
    <w:rsid w:val="00DA3B5F"/>
    <w:rsid w:val="00DA3DD8"/>
    <w:rsid w:val="00DA4C49"/>
    <w:rsid w:val="00DA5912"/>
    <w:rsid w:val="00DA60F2"/>
    <w:rsid w:val="00DA6687"/>
    <w:rsid w:val="00DA6837"/>
    <w:rsid w:val="00DA7040"/>
    <w:rsid w:val="00DA7154"/>
    <w:rsid w:val="00DA77E5"/>
    <w:rsid w:val="00DA7D99"/>
    <w:rsid w:val="00DA7F80"/>
    <w:rsid w:val="00DB027E"/>
    <w:rsid w:val="00DB088C"/>
    <w:rsid w:val="00DB142F"/>
    <w:rsid w:val="00DB1A9B"/>
    <w:rsid w:val="00DB1BB1"/>
    <w:rsid w:val="00DB2794"/>
    <w:rsid w:val="00DB2D50"/>
    <w:rsid w:val="00DB31EA"/>
    <w:rsid w:val="00DB4E8A"/>
    <w:rsid w:val="00DB508E"/>
    <w:rsid w:val="00DB5EB3"/>
    <w:rsid w:val="00DB63DB"/>
    <w:rsid w:val="00DB671D"/>
    <w:rsid w:val="00DB6AB8"/>
    <w:rsid w:val="00DB6B24"/>
    <w:rsid w:val="00DB6F15"/>
    <w:rsid w:val="00DC097C"/>
    <w:rsid w:val="00DC0B25"/>
    <w:rsid w:val="00DC1CA7"/>
    <w:rsid w:val="00DC1D12"/>
    <w:rsid w:val="00DC2227"/>
    <w:rsid w:val="00DC243D"/>
    <w:rsid w:val="00DC2541"/>
    <w:rsid w:val="00DC2642"/>
    <w:rsid w:val="00DC2BA5"/>
    <w:rsid w:val="00DC2D52"/>
    <w:rsid w:val="00DC31AF"/>
    <w:rsid w:val="00DC321B"/>
    <w:rsid w:val="00DC4071"/>
    <w:rsid w:val="00DC4250"/>
    <w:rsid w:val="00DC44E0"/>
    <w:rsid w:val="00DC531C"/>
    <w:rsid w:val="00DC53B0"/>
    <w:rsid w:val="00DC53EC"/>
    <w:rsid w:val="00DC5A03"/>
    <w:rsid w:val="00DC5C9A"/>
    <w:rsid w:val="00DC5CB0"/>
    <w:rsid w:val="00DC5D14"/>
    <w:rsid w:val="00DC6429"/>
    <w:rsid w:val="00DC693C"/>
    <w:rsid w:val="00DC6BA9"/>
    <w:rsid w:val="00DC6D08"/>
    <w:rsid w:val="00DC753D"/>
    <w:rsid w:val="00DC7676"/>
    <w:rsid w:val="00DC7E4D"/>
    <w:rsid w:val="00DD0101"/>
    <w:rsid w:val="00DD0450"/>
    <w:rsid w:val="00DD07C5"/>
    <w:rsid w:val="00DD0D0C"/>
    <w:rsid w:val="00DD0E04"/>
    <w:rsid w:val="00DD0F62"/>
    <w:rsid w:val="00DD2305"/>
    <w:rsid w:val="00DD2444"/>
    <w:rsid w:val="00DD26AA"/>
    <w:rsid w:val="00DD29DD"/>
    <w:rsid w:val="00DD2BEE"/>
    <w:rsid w:val="00DD2C62"/>
    <w:rsid w:val="00DD2D5B"/>
    <w:rsid w:val="00DD2E74"/>
    <w:rsid w:val="00DD3242"/>
    <w:rsid w:val="00DD3B80"/>
    <w:rsid w:val="00DD40DE"/>
    <w:rsid w:val="00DD4AEF"/>
    <w:rsid w:val="00DD4FEC"/>
    <w:rsid w:val="00DD5323"/>
    <w:rsid w:val="00DD5511"/>
    <w:rsid w:val="00DD5804"/>
    <w:rsid w:val="00DD5AC6"/>
    <w:rsid w:val="00DD5CE5"/>
    <w:rsid w:val="00DD5F5A"/>
    <w:rsid w:val="00DD5FE6"/>
    <w:rsid w:val="00DD6B3E"/>
    <w:rsid w:val="00DD73C1"/>
    <w:rsid w:val="00DD7C51"/>
    <w:rsid w:val="00DD7DF6"/>
    <w:rsid w:val="00DE0696"/>
    <w:rsid w:val="00DE0AD6"/>
    <w:rsid w:val="00DE0BE3"/>
    <w:rsid w:val="00DE0D02"/>
    <w:rsid w:val="00DE122F"/>
    <w:rsid w:val="00DE19EA"/>
    <w:rsid w:val="00DE24EC"/>
    <w:rsid w:val="00DE2567"/>
    <w:rsid w:val="00DE25D6"/>
    <w:rsid w:val="00DE2631"/>
    <w:rsid w:val="00DE2B93"/>
    <w:rsid w:val="00DE3050"/>
    <w:rsid w:val="00DE377D"/>
    <w:rsid w:val="00DE380F"/>
    <w:rsid w:val="00DE5482"/>
    <w:rsid w:val="00DE5D17"/>
    <w:rsid w:val="00DE5E79"/>
    <w:rsid w:val="00DE6E5C"/>
    <w:rsid w:val="00DE7794"/>
    <w:rsid w:val="00DE7838"/>
    <w:rsid w:val="00DE7CE6"/>
    <w:rsid w:val="00DF02E3"/>
    <w:rsid w:val="00DF03E2"/>
    <w:rsid w:val="00DF05E0"/>
    <w:rsid w:val="00DF095D"/>
    <w:rsid w:val="00DF115B"/>
    <w:rsid w:val="00DF1356"/>
    <w:rsid w:val="00DF1FE9"/>
    <w:rsid w:val="00DF21E7"/>
    <w:rsid w:val="00DF229B"/>
    <w:rsid w:val="00DF29ED"/>
    <w:rsid w:val="00DF2B2E"/>
    <w:rsid w:val="00DF2B42"/>
    <w:rsid w:val="00DF2C4A"/>
    <w:rsid w:val="00DF2F7E"/>
    <w:rsid w:val="00DF3300"/>
    <w:rsid w:val="00DF3515"/>
    <w:rsid w:val="00DF3754"/>
    <w:rsid w:val="00DF427C"/>
    <w:rsid w:val="00DF4B24"/>
    <w:rsid w:val="00DF50D2"/>
    <w:rsid w:val="00DF5180"/>
    <w:rsid w:val="00DF5624"/>
    <w:rsid w:val="00DF5DF1"/>
    <w:rsid w:val="00DF71AC"/>
    <w:rsid w:val="00DF7552"/>
    <w:rsid w:val="00DF7E3A"/>
    <w:rsid w:val="00E001D7"/>
    <w:rsid w:val="00E00524"/>
    <w:rsid w:val="00E006A7"/>
    <w:rsid w:val="00E015A0"/>
    <w:rsid w:val="00E01B31"/>
    <w:rsid w:val="00E02225"/>
    <w:rsid w:val="00E02335"/>
    <w:rsid w:val="00E02773"/>
    <w:rsid w:val="00E02B5A"/>
    <w:rsid w:val="00E032AF"/>
    <w:rsid w:val="00E03A88"/>
    <w:rsid w:val="00E04351"/>
    <w:rsid w:val="00E04CDC"/>
    <w:rsid w:val="00E05347"/>
    <w:rsid w:val="00E05C60"/>
    <w:rsid w:val="00E05FA3"/>
    <w:rsid w:val="00E068E3"/>
    <w:rsid w:val="00E06CBE"/>
    <w:rsid w:val="00E07073"/>
    <w:rsid w:val="00E0781B"/>
    <w:rsid w:val="00E07AE8"/>
    <w:rsid w:val="00E07E5B"/>
    <w:rsid w:val="00E10A16"/>
    <w:rsid w:val="00E10AB2"/>
    <w:rsid w:val="00E10DB3"/>
    <w:rsid w:val="00E11B83"/>
    <w:rsid w:val="00E11B8B"/>
    <w:rsid w:val="00E1215B"/>
    <w:rsid w:val="00E12554"/>
    <w:rsid w:val="00E126D0"/>
    <w:rsid w:val="00E12C28"/>
    <w:rsid w:val="00E12E84"/>
    <w:rsid w:val="00E135AD"/>
    <w:rsid w:val="00E13EB6"/>
    <w:rsid w:val="00E13FE6"/>
    <w:rsid w:val="00E14AF8"/>
    <w:rsid w:val="00E14E20"/>
    <w:rsid w:val="00E14F71"/>
    <w:rsid w:val="00E1519B"/>
    <w:rsid w:val="00E15782"/>
    <w:rsid w:val="00E15A25"/>
    <w:rsid w:val="00E15E36"/>
    <w:rsid w:val="00E16C34"/>
    <w:rsid w:val="00E1755E"/>
    <w:rsid w:val="00E1775E"/>
    <w:rsid w:val="00E178C3"/>
    <w:rsid w:val="00E20854"/>
    <w:rsid w:val="00E20909"/>
    <w:rsid w:val="00E20BB8"/>
    <w:rsid w:val="00E20F99"/>
    <w:rsid w:val="00E21B4B"/>
    <w:rsid w:val="00E21B68"/>
    <w:rsid w:val="00E21D6C"/>
    <w:rsid w:val="00E21FE0"/>
    <w:rsid w:val="00E228F1"/>
    <w:rsid w:val="00E22D1B"/>
    <w:rsid w:val="00E22E44"/>
    <w:rsid w:val="00E2317E"/>
    <w:rsid w:val="00E2324C"/>
    <w:rsid w:val="00E2391E"/>
    <w:rsid w:val="00E23EA4"/>
    <w:rsid w:val="00E24661"/>
    <w:rsid w:val="00E24F4E"/>
    <w:rsid w:val="00E25296"/>
    <w:rsid w:val="00E25722"/>
    <w:rsid w:val="00E26414"/>
    <w:rsid w:val="00E26456"/>
    <w:rsid w:val="00E26A2D"/>
    <w:rsid w:val="00E26B0A"/>
    <w:rsid w:val="00E271DC"/>
    <w:rsid w:val="00E27833"/>
    <w:rsid w:val="00E27CC0"/>
    <w:rsid w:val="00E305C5"/>
    <w:rsid w:val="00E30A44"/>
    <w:rsid w:val="00E30B52"/>
    <w:rsid w:val="00E30DB5"/>
    <w:rsid w:val="00E30F35"/>
    <w:rsid w:val="00E31571"/>
    <w:rsid w:val="00E3194F"/>
    <w:rsid w:val="00E31BB1"/>
    <w:rsid w:val="00E31BF8"/>
    <w:rsid w:val="00E31C62"/>
    <w:rsid w:val="00E32676"/>
    <w:rsid w:val="00E32AC5"/>
    <w:rsid w:val="00E32AF9"/>
    <w:rsid w:val="00E32FB6"/>
    <w:rsid w:val="00E33393"/>
    <w:rsid w:val="00E3418A"/>
    <w:rsid w:val="00E34545"/>
    <w:rsid w:val="00E345DE"/>
    <w:rsid w:val="00E34923"/>
    <w:rsid w:val="00E34DCA"/>
    <w:rsid w:val="00E35B4B"/>
    <w:rsid w:val="00E35DA7"/>
    <w:rsid w:val="00E36526"/>
    <w:rsid w:val="00E36D89"/>
    <w:rsid w:val="00E37495"/>
    <w:rsid w:val="00E379FD"/>
    <w:rsid w:val="00E37F4C"/>
    <w:rsid w:val="00E406CA"/>
    <w:rsid w:val="00E40BE1"/>
    <w:rsid w:val="00E40BE8"/>
    <w:rsid w:val="00E40C22"/>
    <w:rsid w:val="00E412F4"/>
    <w:rsid w:val="00E416C9"/>
    <w:rsid w:val="00E4181B"/>
    <w:rsid w:val="00E41CF4"/>
    <w:rsid w:val="00E428E8"/>
    <w:rsid w:val="00E4398D"/>
    <w:rsid w:val="00E43BF9"/>
    <w:rsid w:val="00E4422F"/>
    <w:rsid w:val="00E448F0"/>
    <w:rsid w:val="00E44C33"/>
    <w:rsid w:val="00E45157"/>
    <w:rsid w:val="00E453B5"/>
    <w:rsid w:val="00E45849"/>
    <w:rsid w:val="00E466C8"/>
    <w:rsid w:val="00E476EC"/>
    <w:rsid w:val="00E47811"/>
    <w:rsid w:val="00E47E4A"/>
    <w:rsid w:val="00E50568"/>
    <w:rsid w:val="00E50677"/>
    <w:rsid w:val="00E51190"/>
    <w:rsid w:val="00E519AB"/>
    <w:rsid w:val="00E51C95"/>
    <w:rsid w:val="00E51D18"/>
    <w:rsid w:val="00E5242A"/>
    <w:rsid w:val="00E5244D"/>
    <w:rsid w:val="00E528C8"/>
    <w:rsid w:val="00E53176"/>
    <w:rsid w:val="00E5341F"/>
    <w:rsid w:val="00E53675"/>
    <w:rsid w:val="00E542F9"/>
    <w:rsid w:val="00E5441D"/>
    <w:rsid w:val="00E5486E"/>
    <w:rsid w:val="00E54F43"/>
    <w:rsid w:val="00E55724"/>
    <w:rsid w:val="00E5591A"/>
    <w:rsid w:val="00E55B0C"/>
    <w:rsid w:val="00E55C7C"/>
    <w:rsid w:val="00E56218"/>
    <w:rsid w:val="00E56A67"/>
    <w:rsid w:val="00E56BE9"/>
    <w:rsid w:val="00E56C96"/>
    <w:rsid w:val="00E56EEE"/>
    <w:rsid w:val="00E57706"/>
    <w:rsid w:val="00E5772B"/>
    <w:rsid w:val="00E57E43"/>
    <w:rsid w:val="00E60012"/>
    <w:rsid w:val="00E605C4"/>
    <w:rsid w:val="00E60811"/>
    <w:rsid w:val="00E6112C"/>
    <w:rsid w:val="00E61473"/>
    <w:rsid w:val="00E615C1"/>
    <w:rsid w:val="00E616E2"/>
    <w:rsid w:val="00E61706"/>
    <w:rsid w:val="00E6178B"/>
    <w:rsid w:val="00E6214F"/>
    <w:rsid w:val="00E621F5"/>
    <w:rsid w:val="00E62289"/>
    <w:rsid w:val="00E62C19"/>
    <w:rsid w:val="00E62E85"/>
    <w:rsid w:val="00E632D0"/>
    <w:rsid w:val="00E632D9"/>
    <w:rsid w:val="00E633CA"/>
    <w:rsid w:val="00E63686"/>
    <w:rsid w:val="00E63A0E"/>
    <w:rsid w:val="00E63EB3"/>
    <w:rsid w:val="00E63FBC"/>
    <w:rsid w:val="00E654AA"/>
    <w:rsid w:val="00E657B3"/>
    <w:rsid w:val="00E65D67"/>
    <w:rsid w:val="00E66AC8"/>
    <w:rsid w:val="00E66D4D"/>
    <w:rsid w:val="00E67663"/>
    <w:rsid w:val="00E702DF"/>
    <w:rsid w:val="00E704ED"/>
    <w:rsid w:val="00E714E1"/>
    <w:rsid w:val="00E72BA9"/>
    <w:rsid w:val="00E72C99"/>
    <w:rsid w:val="00E731CC"/>
    <w:rsid w:val="00E73DF2"/>
    <w:rsid w:val="00E740D3"/>
    <w:rsid w:val="00E74132"/>
    <w:rsid w:val="00E74147"/>
    <w:rsid w:val="00E74800"/>
    <w:rsid w:val="00E74F91"/>
    <w:rsid w:val="00E74FA8"/>
    <w:rsid w:val="00E757C8"/>
    <w:rsid w:val="00E758EE"/>
    <w:rsid w:val="00E76292"/>
    <w:rsid w:val="00E777DA"/>
    <w:rsid w:val="00E77AAA"/>
    <w:rsid w:val="00E80305"/>
    <w:rsid w:val="00E804EA"/>
    <w:rsid w:val="00E806ED"/>
    <w:rsid w:val="00E812D9"/>
    <w:rsid w:val="00E81894"/>
    <w:rsid w:val="00E819D5"/>
    <w:rsid w:val="00E81EC6"/>
    <w:rsid w:val="00E81FCD"/>
    <w:rsid w:val="00E823AC"/>
    <w:rsid w:val="00E82730"/>
    <w:rsid w:val="00E82D5A"/>
    <w:rsid w:val="00E83907"/>
    <w:rsid w:val="00E83AF0"/>
    <w:rsid w:val="00E83BAF"/>
    <w:rsid w:val="00E83C92"/>
    <w:rsid w:val="00E842EE"/>
    <w:rsid w:val="00E84A0A"/>
    <w:rsid w:val="00E85148"/>
    <w:rsid w:val="00E85358"/>
    <w:rsid w:val="00E85780"/>
    <w:rsid w:val="00E85D35"/>
    <w:rsid w:val="00E86BA8"/>
    <w:rsid w:val="00E86D42"/>
    <w:rsid w:val="00E871E1"/>
    <w:rsid w:val="00E87622"/>
    <w:rsid w:val="00E903E2"/>
    <w:rsid w:val="00E90694"/>
    <w:rsid w:val="00E908F7"/>
    <w:rsid w:val="00E913A1"/>
    <w:rsid w:val="00E9169F"/>
    <w:rsid w:val="00E916CA"/>
    <w:rsid w:val="00E917DA"/>
    <w:rsid w:val="00E91B41"/>
    <w:rsid w:val="00E92687"/>
    <w:rsid w:val="00E92D62"/>
    <w:rsid w:val="00E92ECA"/>
    <w:rsid w:val="00E9380E"/>
    <w:rsid w:val="00E93827"/>
    <w:rsid w:val="00E93C86"/>
    <w:rsid w:val="00E947E5"/>
    <w:rsid w:val="00E948CB"/>
    <w:rsid w:val="00E94EBB"/>
    <w:rsid w:val="00E94FF3"/>
    <w:rsid w:val="00E95F78"/>
    <w:rsid w:val="00E96201"/>
    <w:rsid w:val="00E96C98"/>
    <w:rsid w:val="00E97074"/>
    <w:rsid w:val="00E97884"/>
    <w:rsid w:val="00E97E18"/>
    <w:rsid w:val="00EA0390"/>
    <w:rsid w:val="00EA054A"/>
    <w:rsid w:val="00EA10C1"/>
    <w:rsid w:val="00EA1AA4"/>
    <w:rsid w:val="00EA1D56"/>
    <w:rsid w:val="00EA236D"/>
    <w:rsid w:val="00EA30BD"/>
    <w:rsid w:val="00EA33F8"/>
    <w:rsid w:val="00EA34CC"/>
    <w:rsid w:val="00EA35EF"/>
    <w:rsid w:val="00EA3D0F"/>
    <w:rsid w:val="00EA4241"/>
    <w:rsid w:val="00EA43B0"/>
    <w:rsid w:val="00EA46D9"/>
    <w:rsid w:val="00EA4C54"/>
    <w:rsid w:val="00EA6489"/>
    <w:rsid w:val="00EA65C1"/>
    <w:rsid w:val="00EA685E"/>
    <w:rsid w:val="00EA6948"/>
    <w:rsid w:val="00EA6C03"/>
    <w:rsid w:val="00EA6C8F"/>
    <w:rsid w:val="00EA71EB"/>
    <w:rsid w:val="00EA748D"/>
    <w:rsid w:val="00EA7BA0"/>
    <w:rsid w:val="00EB0BBD"/>
    <w:rsid w:val="00EB10CF"/>
    <w:rsid w:val="00EB13B8"/>
    <w:rsid w:val="00EB177A"/>
    <w:rsid w:val="00EB1A99"/>
    <w:rsid w:val="00EB2715"/>
    <w:rsid w:val="00EB2764"/>
    <w:rsid w:val="00EB3046"/>
    <w:rsid w:val="00EB311E"/>
    <w:rsid w:val="00EB365F"/>
    <w:rsid w:val="00EB4235"/>
    <w:rsid w:val="00EB4632"/>
    <w:rsid w:val="00EB4894"/>
    <w:rsid w:val="00EB4D4D"/>
    <w:rsid w:val="00EB53C7"/>
    <w:rsid w:val="00EB544A"/>
    <w:rsid w:val="00EB5912"/>
    <w:rsid w:val="00EB59E0"/>
    <w:rsid w:val="00EB63F0"/>
    <w:rsid w:val="00EB692F"/>
    <w:rsid w:val="00EB6D53"/>
    <w:rsid w:val="00EB6E23"/>
    <w:rsid w:val="00EB75C7"/>
    <w:rsid w:val="00EB769B"/>
    <w:rsid w:val="00EB782E"/>
    <w:rsid w:val="00EB7845"/>
    <w:rsid w:val="00EB7CB3"/>
    <w:rsid w:val="00EC05DB"/>
    <w:rsid w:val="00EC0CCC"/>
    <w:rsid w:val="00EC188F"/>
    <w:rsid w:val="00EC19B8"/>
    <w:rsid w:val="00EC1F3C"/>
    <w:rsid w:val="00EC23C5"/>
    <w:rsid w:val="00EC25A8"/>
    <w:rsid w:val="00EC281B"/>
    <w:rsid w:val="00EC2D19"/>
    <w:rsid w:val="00EC30AD"/>
    <w:rsid w:val="00EC31BC"/>
    <w:rsid w:val="00EC3921"/>
    <w:rsid w:val="00EC3E11"/>
    <w:rsid w:val="00EC4130"/>
    <w:rsid w:val="00EC455E"/>
    <w:rsid w:val="00EC468A"/>
    <w:rsid w:val="00EC48AA"/>
    <w:rsid w:val="00EC4E10"/>
    <w:rsid w:val="00EC52F7"/>
    <w:rsid w:val="00EC5AAE"/>
    <w:rsid w:val="00EC5E5E"/>
    <w:rsid w:val="00EC5F19"/>
    <w:rsid w:val="00EC6382"/>
    <w:rsid w:val="00EC63B1"/>
    <w:rsid w:val="00EC66C8"/>
    <w:rsid w:val="00EC6935"/>
    <w:rsid w:val="00EC6AF7"/>
    <w:rsid w:val="00EC6B4A"/>
    <w:rsid w:val="00EC716C"/>
    <w:rsid w:val="00EC73D9"/>
    <w:rsid w:val="00EC7974"/>
    <w:rsid w:val="00ED048D"/>
    <w:rsid w:val="00ED059E"/>
    <w:rsid w:val="00ED1389"/>
    <w:rsid w:val="00ED2545"/>
    <w:rsid w:val="00ED26FE"/>
    <w:rsid w:val="00ED27AA"/>
    <w:rsid w:val="00ED32B5"/>
    <w:rsid w:val="00ED32C4"/>
    <w:rsid w:val="00ED32E6"/>
    <w:rsid w:val="00ED409C"/>
    <w:rsid w:val="00ED4663"/>
    <w:rsid w:val="00ED4A49"/>
    <w:rsid w:val="00ED4A64"/>
    <w:rsid w:val="00ED4E86"/>
    <w:rsid w:val="00ED4F06"/>
    <w:rsid w:val="00ED56D0"/>
    <w:rsid w:val="00ED59BD"/>
    <w:rsid w:val="00ED5D31"/>
    <w:rsid w:val="00ED5FEA"/>
    <w:rsid w:val="00ED72E1"/>
    <w:rsid w:val="00ED74E2"/>
    <w:rsid w:val="00ED7697"/>
    <w:rsid w:val="00ED7AF0"/>
    <w:rsid w:val="00ED7E37"/>
    <w:rsid w:val="00EE013E"/>
    <w:rsid w:val="00EE0143"/>
    <w:rsid w:val="00EE02F4"/>
    <w:rsid w:val="00EE033A"/>
    <w:rsid w:val="00EE0B15"/>
    <w:rsid w:val="00EE0E02"/>
    <w:rsid w:val="00EE10F0"/>
    <w:rsid w:val="00EE1458"/>
    <w:rsid w:val="00EE14E7"/>
    <w:rsid w:val="00EE18CB"/>
    <w:rsid w:val="00EE2E36"/>
    <w:rsid w:val="00EE3040"/>
    <w:rsid w:val="00EE3CD6"/>
    <w:rsid w:val="00EE3D7F"/>
    <w:rsid w:val="00EE3DB7"/>
    <w:rsid w:val="00EE4241"/>
    <w:rsid w:val="00EE4294"/>
    <w:rsid w:val="00EE474B"/>
    <w:rsid w:val="00EE49B9"/>
    <w:rsid w:val="00EE4D3C"/>
    <w:rsid w:val="00EE55A1"/>
    <w:rsid w:val="00EE5C8C"/>
    <w:rsid w:val="00EE5E0B"/>
    <w:rsid w:val="00EE5E15"/>
    <w:rsid w:val="00EE7021"/>
    <w:rsid w:val="00EE7112"/>
    <w:rsid w:val="00EE72CF"/>
    <w:rsid w:val="00EE74D4"/>
    <w:rsid w:val="00EE78F1"/>
    <w:rsid w:val="00EE7FC4"/>
    <w:rsid w:val="00EF00C8"/>
    <w:rsid w:val="00EF0D6B"/>
    <w:rsid w:val="00EF124C"/>
    <w:rsid w:val="00EF138B"/>
    <w:rsid w:val="00EF13D4"/>
    <w:rsid w:val="00EF150F"/>
    <w:rsid w:val="00EF1DB1"/>
    <w:rsid w:val="00EF2038"/>
    <w:rsid w:val="00EF2057"/>
    <w:rsid w:val="00EF2294"/>
    <w:rsid w:val="00EF2BB7"/>
    <w:rsid w:val="00EF2FDE"/>
    <w:rsid w:val="00EF35E9"/>
    <w:rsid w:val="00EF3657"/>
    <w:rsid w:val="00EF395A"/>
    <w:rsid w:val="00EF457B"/>
    <w:rsid w:val="00EF4B56"/>
    <w:rsid w:val="00EF4B64"/>
    <w:rsid w:val="00EF5032"/>
    <w:rsid w:val="00EF506F"/>
    <w:rsid w:val="00EF51B6"/>
    <w:rsid w:val="00EF52B7"/>
    <w:rsid w:val="00EF67F6"/>
    <w:rsid w:val="00EF76A4"/>
    <w:rsid w:val="00EF7942"/>
    <w:rsid w:val="00EF79A4"/>
    <w:rsid w:val="00EF7A45"/>
    <w:rsid w:val="00EF7DBE"/>
    <w:rsid w:val="00F0042D"/>
    <w:rsid w:val="00F00A1B"/>
    <w:rsid w:val="00F01275"/>
    <w:rsid w:val="00F012E0"/>
    <w:rsid w:val="00F017B2"/>
    <w:rsid w:val="00F0180F"/>
    <w:rsid w:val="00F03D21"/>
    <w:rsid w:val="00F045B9"/>
    <w:rsid w:val="00F04709"/>
    <w:rsid w:val="00F04E4F"/>
    <w:rsid w:val="00F05554"/>
    <w:rsid w:val="00F05856"/>
    <w:rsid w:val="00F05BD1"/>
    <w:rsid w:val="00F05D29"/>
    <w:rsid w:val="00F05F32"/>
    <w:rsid w:val="00F06491"/>
    <w:rsid w:val="00F06F50"/>
    <w:rsid w:val="00F0787A"/>
    <w:rsid w:val="00F07B7D"/>
    <w:rsid w:val="00F07C58"/>
    <w:rsid w:val="00F104B4"/>
    <w:rsid w:val="00F10657"/>
    <w:rsid w:val="00F106F9"/>
    <w:rsid w:val="00F10B5C"/>
    <w:rsid w:val="00F10BBD"/>
    <w:rsid w:val="00F10E61"/>
    <w:rsid w:val="00F10FC4"/>
    <w:rsid w:val="00F11536"/>
    <w:rsid w:val="00F12399"/>
    <w:rsid w:val="00F12D46"/>
    <w:rsid w:val="00F130AC"/>
    <w:rsid w:val="00F132DA"/>
    <w:rsid w:val="00F1335D"/>
    <w:rsid w:val="00F13389"/>
    <w:rsid w:val="00F142E7"/>
    <w:rsid w:val="00F143E3"/>
    <w:rsid w:val="00F14EEA"/>
    <w:rsid w:val="00F15130"/>
    <w:rsid w:val="00F16381"/>
    <w:rsid w:val="00F165B4"/>
    <w:rsid w:val="00F16938"/>
    <w:rsid w:val="00F169B0"/>
    <w:rsid w:val="00F16ABF"/>
    <w:rsid w:val="00F17C36"/>
    <w:rsid w:val="00F2096E"/>
    <w:rsid w:val="00F20D85"/>
    <w:rsid w:val="00F21BCC"/>
    <w:rsid w:val="00F21DC9"/>
    <w:rsid w:val="00F223EC"/>
    <w:rsid w:val="00F22411"/>
    <w:rsid w:val="00F224F2"/>
    <w:rsid w:val="00F22992"/>
    <w:rsid w:val="00F231A2"/>
    <w:rsid w:val="00F23E6B"/>
    <w:rsid w:val="00F24B60"/>
    <w:rsid w:val="00F24BD1"/>
    <w:rsid w:val="00F25A6B"/>
    <w:rsid w:val="00F25B44"/>
    <w:rsid w:val="00F25FE9"/>
    <w:rsid w:val="00F26090"/>
    <w:rsid w:val="00F261A8"/>
    <w:rsid w:val="00F2650F"/>
    <w:rsid w:val="00F26552"/>
    <w:rsid w:val="00F27335"/>
    <w:rsid w:val="00F304C0"/>
    <w:rsid w:val="00F30B48"/>
    <w:rsid w:val="00F312C4"/>
    <w:rsid w:val="00F3169B"/>
    <w:rsid w:val="00F31939"/>
    <w:rsid w:val="00F31C1E"/>
    <w:rsid w:val="00F324CD"/>
    <w:rsid w:val="00F32883"/>
    <w:rsid w:val="00F32DB7"/>
    <w:rsid w:val="00F32EF0"/>
    <w:rsid w:val="00F330BB"/>
    <w:rsid w:val="00F333EB"/>
    <w:rsid w:val="00F33D0A"/>
    <w:rsid w:val="00F34020"/>
    <w:rsid w:val="00F346AD"/>
    <w:rsid w:val="00F3488D"/>
    <w:rsid w:val="00F348AD"/>
    <w:rsid w:val="00F348CE"/>
    <w:rsid w:val="00F34C31"/>
    <w:rsid w:val="00F34D7D"/>
    <w:rsid w:val="00F353CD"/>
    <w:rsid w:val="00F35E6B"/>
    <w:rsid w:val="00F36537"/>
    <w:rsid w:val="00F36EA0"/>
    <w:rsid w:val="00F37457"/>
    <w:rsid w:val="00F37555"/>
    <w:rsid w:val="00F37A1A"/>
    <w:rsid w:val="00F37AA9"/>
    <w:rsid w:val="00F37B4C"/>
    <w:rsid w:val="00F410C4"/>
    <w:rsid w:val="00F41223"/>
    <w:rsid w:val="00F414E1"/>
    <w:rsid w:val="00F416DA"/>
    <w:rsid w:val="00F41C8F"/>
    <w:rsid w:val="00F427E5"/>
    <w:rsid w:val="00F428FB"/>
    <w:rsid w:val="00F4293D"/>
    <w:rsid w:val="00F43179"/>
    <w:rsid w:val="00F43603"/>
    <w:rsid w:val="00F43A82"/>
    <w:rsid w:val="00F43C6E"/>
    <w:rsid w:val="00F442CC"/>
    <w:rsid w:val="00F4445D"/>
    <w:rsid w:val="00F4496B"/>
    <w:rsid w:val="00F44A2C"/>
    <w:rsid w:val="00F44D04"/>
    <w:rsid w:val="00F45159"/>
    <w:rsid w:val="00F45B5C"/>
    <w:rsid w:val="00F45C17"/>
    <w:rsid w:val="00F45D42"/>
    <w:rsid w:val="00F46220"/>
    <w:rsid w:val="00F47452"/>
    <w:rsid w:val="00F47952"/>
    <w:rsid w:val="00F479AB"/>
    <w:rsid w:val="00F47D89"/>
    <w:rsid w:val="00F506C3"/>
    <w:rsid w:val="00F507C7"/>
    <w:rsid w:val="00F50A75"/>
    <w:rsid w:val="00F51566"/>
    <w:rsid w:val="00F51663"/>
    <w:rsid w:val="00F518D9"/>
    <w:rsid w:val="00F51CC2"/>
    <w:rsid w:val="00F51D7A"/>
    <w:rsid w:val="00F52187"/>
    <w:rsid w:val="00F526C4"/>
    <w:rsid w:val="00F52BAF"/>
    <w:rsid w:val="00F52C04"/>
    <w:rsid w:val="00F53132"/>
    <w:rsid w:val="00F534AB"/>
    <w:rsid w:val="00F53E78"/>
    <w:rsid w:val="00F53F06"/>
    <w:rsid w:val="00F543A1"/>
    <w:rsid w:val="00F54527"/>
    <w:rsid w:val="00F5460E"/>
    <w:rsid w:val="00F54C05"/>
    <w:rsid w:val="00F55191"/>
    <w:rsid w:val="00F551C4"/>
    <w:rsid w:val="00F55B7F"/>
    <w:rsid w:val="00F56022"/>
    <w:rsid w:val="00F5676B"/>
    <w:rsid w:val="00F56CD8"/>
    <w:rsid w:val="00F56F96"/>
    <w:rsid w:val="00F57075"/>
    <w:rsid w:val="00F573C7"/>
    <w:rsid w:val="00F57C37"/>
    <w:rsid w:val="00F57C82"/>
    <w:rsid w:val="00F57E04"/>
    <w:rsid w:val="00F60214"/>
    <w:rsid w:val="00F60581"/>
    <w:rsid w:val="00F606B7"/>
    <w:rsid w:val="00F6080E"/>
    <w:rsid w:val="00F60CD9"/>
    <w:rsid w:val="00F60D60"/>
    <w:rsid w:val="00F60F1F"/>
    <w:rsid w:val="00F611CA"/>
    <w:rsid w:val="00F613FD"/>
    <w:rsid w:val="00F614DA"/>
    <w:rsid w:val="00F61970"/>
    <w:rsid w:val="00F61C3D"/>
    <w:rsid w:val="00F62D9F"/>
    <w:rsid w:val="00F62E41"/>
    <w:rsid w:val="00F63387"/>
    <w:rsid w:val="00F6357A"/>
    <w:rsid w:val="00F635F4"/>
    <w:rsid w:val="00F63F7D"/>
    <w:rsid w:val="00F63F96"/>
    <w:rsid w:val="00F6415C"/>
    <w:rsid w:val="00F65622"/>
    <w:rsid w:val="00F6578A"/>
    <w:rsid w:val="00F65DC1"/>
    <w:rsid w:val="00F65E32"/>
    <w:rsid w:val="00F66680"/>
    <w:rsid w:val="00F66928"/>
    <w:rsid w:val="00F66981"/>
    <w:rsid w:val="00F66A2E"/>
    <w:rsid w:val="00F66FCB"/>
    <w:rsid w:val="00F6758F"/>
    <w:rsid w:val="00F6786C"/>
    <w:rsid w:val="00F70E8B"/>
    <w:rsid w:val="00F717E7"/>
    <w:rsid w:val="00F7191F"/>
    <w:rsid w:val="00F71B77"/>
    <w:rsid w:val="00F71CD4"/>
    <w:rsid w:val="00F72598"/>
    <w:rsid w:val="00F7277E"/>
    <w:rsid w:val="00F72A47"/>
    <w:rsid w:val="00F72ACF"/>
    <w:rsid w:val="00F72BAC"/>
    <w:rsid w:val="00F72F29"/>
    <w:rsid w:val="00F7319C"/>
    <w:rsid w:val="00F734E0"/>
    <w:rsid w:val="00F73972"/>
    <w:rsid w:val="00F7424E"/>
    <w:rsid w:val="00F7435E"/>
    <w:rsid w:val="00F74411"/>
    <w:rsid w:val="00F7446A"/>
    <w:rsid w:val="00F74B94"/>
    <w:rsid w:val="00F74F57"/>
    <w:rsid w:val="00F751C0"/>
    <w:rsid w:val="00F75421"/>
    <w:rsid w:val="00F75A94"/>
    <w:rsid w:val="00F7667F"/>
    <w:rsid w:val="00F770D6"/>
    <w:rsid w:val="00F772D9"/>
    <w:rsid w:val="00F80586"/>
    <w:rsid w:val="00F8061A"/>
    <w:rsid w:val="00F8064C"/>
    <w:rsid w:val="00F80CF3"/>
    <w:rsid w:val="00F80FEE"/>
    <w:rsid w:val="00F812F1"/>
    <w:rsid w:val="00F8150D"/>
    <w:rsid w:val="00F81868"/>
    <w:rsid w:val="00F81C0A"/>
    <w:rsid w:val="00F81D9E"/>
    <w:rsid w:val="00F82124"/>
    <w:rsid w:val="00F821E3"/>
    <w:rsid w:val="00F8230C"/>
    <w:rsid w:val="00F824EF"/>
    <w:rsid w:val="00F826C2"/>
    <w:rsid w:val="00F82848"/>
    <w:rsid w:val="00F82AEF"/>
    <w:rsid w:val="00F8303F"/>
    <w:rsid w:val="00F8314D"/>
    <w:rsid w:val="00F8315C"/>
    <w:rsid w:val="00F832BD"/>
    <w:rsid w:val="00F83637"/>
    <w:rsid w:val="00F837B1"/>
    <w:rsid w:val="00F838F3"/>
    <w:rsid w:val="00F83F1A"/>
    <w:rsid w:val="00F841EF"/>
    <w:rsid w:val="00F84316"/>
    <w:rsid w:val="00F844DF"/>
    <w:rsid w:val="00F848BB"/>
    <w:rsid w:val="00F84910"/>
    <w:rsid w:val="00F84D6A"/>
    <w:rsid w:val="00F8548C"/>
    <w:rsid w:val="00F8551A"/>
    <w:rsid w:val="00F863E2"/>
    <w:rsid w:val="00F87171"/>
    <w:rsid w:val="00F87310"/>
    <w:rsid w:val="00F87DB9"/>
    <w:rsid w:val="00F87EC7"/>
    <w:rsid w:val="00F90C4D"/>
    <w:rsid w:val="00F912AA"/>
    <w:rsid w:val="00F914FA"/>
    <w:rsid w:val="00F91905"/>
    <w:rsid w:val="00F91CD7"/>
    <w:rsid w:val="00F922AD"/>
    <w:rsid w:val="00F929B6"/>
    <w:rsid w:val="00F92CF1"/>
    <w:rsid w:val="00F93568"/>
    <w:rsid w:val="00F935EE"/>
    <w:rsid w:val="00F937BC"/>
    <w:rsid w:val="00F93B57"/>
    <w:rsid w:val="00F94338"/>
    <w:rsid w:val="00F94CA6"/>
    <w:rsid w:val="00F95190"/>
    <w:rsid w:val="00F95357"/>
    <w:rsid w:val="00F9542E"/>
    <w:rsid w:val="00F95942"/>
    <w:rsid w:val="00F95D68"/>
    <w:rsid w:val="00F962DD"/>
    <w:rsid w:val="00F96ED8"/>
    <w:rsid w:val="00F96F55"/>
    <w:rsid w:val="00F96FB5"/>
    <w:rsid w:val="00F96FF6"/>
    <w:rsid w:val="00F971B2"/>
    <w:rsid w:val="00F973DB"/>
    <w:rsid w:val="00F973FF"/>
    <w:rsid w:val="00F97D2F"/>
    <w:rsid w:val="00F97EF9"/>
    <w:rsid w:val="00FA0304"/>
    <w:rsid w:val="00FA1099"/>
    <w:rsid w:val="00FA137C"/>
    <w:rsid w:val="00FA1496"/>
    <w:rsid w:val="00FA20DD"/>
    <w:rsid w:val="00FA22A7"/>
    <w:rsid w:val="00FA243B"/>
    <w:rsid w:val="00FA3290"/>
    <w:rsid w:val="00FA33B7"/>
    <w:rsid w:val="00FA3F34"/>
    <w:rsid w:val="00FA42B6"/>
    <w:rsid w:val="00FA5DF5"/>
    <w:rsid w:val="00FA6BE3"/>
    <w:rsid w:val="00FA6DFF"/>
    <w:rsid w:val="00FA752F"/>
    <w:rsid w:val="00FA77BC"/>
    <w:rsid w:val="00FA79AC"/>
    <w:rsid w:val="00FA7F5D"/>
    <w:rsid w:val="00FB0459"/>
    <w:rsid w:val="00FB05E3"/>
    <w:rsid w:val="00FB067A"/>
    <w:rsid w:val="00FB0794"/>
    <w:rsid w:val="00FB0AE3"/>
    <w:rsid w:val="00FB0BF7"/>
    <w:rsid w:val="00FB0E97"/>
    <w:rsid w:val="00FB1057"/>
    <w:rsid w:val="00FB1AD9"/>
    <w:rsid w:val="00FB1F8B"/>
    <w:rsid w:val="00FB22A9"/>
    <w:rsid w:val="00FB33FF"/>
    <w:rsid w:val="00FB3706"/>
    <w:rsid w:val="00FB3992"/>
    <w:rsid w:val="00FB3F56"/>
    <w:rsid w:val="00FB406A"/>
    <w:rsid w:val="00FB40B0"/>
    <w:rsid w:val="00FB411C"/>
    <w:rsid w:val="00FB44A7"/>
    <w:rsid w:val="00FB46B6"/>
    <w:rsid w:val="00FB47C6"/>
    <w:rsid w:val="00FB569B"/>
    <w:rsid w:val="00FB5A5C"/>
    <w:rsid w:val="00FB5D0F"/>
    <w:rsid w:val="00FB5D5F"/>
    <w:rsid w:val="00FB5ECE"/>
    <w:rsid w:val="00FB6043"/>
    <w:rsid w:val="00FB637A"/>
    <w:rsid w:val="00FB654F"/>
    <w:rsid w:val="00FB6D1A"/>
    <w:rsid w:val="00FB6D9F"/>
    <w:rsid w:val="00FB6DAE"/>
    <w:rsid w:val="00FB7BA2"/>
    <w:rsid w:val="00FC096B"/>
    <w:rsid w:val="00FC0DB3"/>
    <w:rsid w:val="00FC0E14"/>
    <w:rsid w:val="00FC1448"/>
    <w:rsid w:val="00FC1B2D"/>
    <w:rsid w:val="00FC1B5B"/>
    <w:rsid w:val="00FC3B74"/>
    <w:rsid w:val="00FC3FC6"/>
    <w:rsid w:val="00FC404E"/>
    <w:rsid w:val="00FC40E3"/>
    <w:rsid w:val="00FC44FF"/>
    <w:rsid w:val="00FC4544"/>
    <w:rsid w:val="00FC482C"/>
    <w:rsid w:val="00FC4FB9"/>
    <w:rsid w:val="00FC53DD"/>
    <w:rsid w:val="00FC5556"/>
    <w:rsid w:val="00FC55DA"/>
    <w:rsid w:val="00FC6489"/>
    <w:rsid w:val="00FC688E"/>
    <w:rsid w:val="00FC6C6B"/>
    <w:rsid w:val="00FC6DC4"/>
    <w:rsid w:val="00FC7F3A"/>
    <w:rsid w:val="00FD081F"/>
    <w:rsid w:val="00FD0973"/>
    <w:rsid w:val="00FD0FC6"/>
    <w:rsid w:val="00FD10E9"/>
    <w:rsid w:val="00FD1CA1"/>
    <w:rsid w:val="00FD1CAE"/>
    <w:rsid w:val="00FD271E"/>
    <w:rsid w:val="00FD28F7"/>
    <w:rsid w:val="00FD2B48"/>
    <w:rsid w:val="00FD2B8B"/>
    <w:rsid w:val="00FD2DAB"/>
    <w:rsid w:val="00FD2EE2"/>
    <w:rsid w:val="00FD32F6"/>
    <w:rsid w:val="00FD37F2"/>
    <w:rsid w:val="00FD3C68"/>
    <w:rsid w:val="00FD3FFE"/>
    <w:rsid w:val="00FD44A7"/>
    <w:rsid w:val="00FD4D8D"/>
    <w:rsid w:val="00FD53CF"/>
    <w:rsid w:val="00FD5F35"/>
    <w:rsid w:val="00FD60C4"/>
    <w:rsid w:val="00FD6696"/>
    <w:rsid w:val="00FD69BA"/>
    <w:rsid w:val="00FD6C2F"/>
    <w:rsid w:val="00FD6E43"/>
    <w:rsid w:val="00FD6F43"/>
    <w:rsid w:val="00FD7272"/>
    <w:rsid w:val="00FD7470"/>
    <w:rsid w:val="00FD7560"/>
    <w:rsid w:val="00FE005F"/>
    <w:rsid w:val="00FE07F6"/>
    <w:rsid w:val="00FE0A1D"/>
    <w:rsid w:val="00FE0B66"/>
    <w:rsid w:val="00FE13E4"/>
    <w:rsid w:val="00FE13ED"/>
    <w:rsid w:val="00FE1488"/>
    <w:rsid w:val="00FE17BF"/>
    <w:rsid w:val="00FE1C58"/>
    <w:rsid w:val="00FE1E7F"/>
    <w:rsid w:val="00FE2AAA"/>
    <w:rsid w:val="00FE2B08"/>
    <w:rsid w:val="00FE2CD0"/>
    <w:rsid w:val="00FE2DFB"/>
    <w:rsid w:val="00FE34BD"/>
    <w:rsid w:val="00FE3C2B"/>
    <w:rsid w:val="00FE3D99"/>
    <w:rsid w:val="00FE4020"/>
    <w:rsid w:val="00FE4470"/>
    <w:rsid w:val="00FE4594"/>
    <w:rsid w:val="00FE46D3"/>
    <w:rsid w:val="00FE4BA8"/>
    <w:rsid w:val="00FE52BD"/>
    <w:rsid w:val="00FE6FB7"/>
    <w:rsid w:val="00FE75AF"/>
    <w:rsid w:val="00FF0222"/>
    <w:rsid w:val="00FF0505"/>
    <w:rsid w:val="00FF06D2"/>
    <w:rsid w:val="00FF07F7"/>
    <w:rsid w:val="00FF0C49"/>
    <w:rsid w:val="00FF113C"/>
    <w:rsid w:val="00FF1670"/>
    <w:rsid w:val="00FF2170"/>
    <w:rsid w:val="00FF23AC"/>
    <w:rsid w:val="00FF25CC"/>
    <w:rsid w:val="00FF28BE"/>
    <w:rsid w:val="00FF3062"/>
    <w:rsid w:val="00FF34C2"/>
    <w:rsid w:val="00FF44A2"/>
    <w:rsid w:val="00FF44CB"/>
    <w:rsid w:val="00FF48C4"/>
    <w:rsid w:val="00FF4B5D"/>
    <w:rsid w:val="00FF4EF3"/>
    <w:rsid w:val="00FF4F33"/>
    <w:rsid w:val="00FF5887"/>
    <w:rsid w:val="00FF5B6A"/>
    <w:rsid w:val="00FF67C5"/>
    <w:rsid w:val="00FF6A44"/>
    <w:rsid w:val="00FF6B12"/>
    <w:rsid w:val="00FF6EE2"/>
    <w:rsid w:val="00FF709C"/>
    <w:rsid w:val="00FF7507"/>
    <w:rsid w:val="00FF79FB"/>
    <w:rsid w:val="00FF7DCB"/>
    <w:rsid w:val="06BC4EB1"/>
    <w:rsid w:val="090745F5"/>
    <w:rsid w:val="0A1809A6"/>
    <w:rsid w:val="0A6B4964"/>
    <w:rsid w:val="0AD40678"/>
    <w:rsid w:val="0BB00DD1"/>
    <w:rsid w:val="0CFA0031"/>
    <w:rsid w:val="0D521799"/>
    <w:rsid w:val="0D5626B9"/>
    <w:rsid w:val="0F024E43"/>
    <w:rsid w:val="101B0090"/>
    <w:rsid w:val="11560EC5"/>
    <w:rsid w:val="122C5725"/>
    <w:rsid w:val="15D84D8E"/>
    <w:rsid w:val="15E46E0E"/>
    <w:rsid w:val="161B13A7"/>
    <w:rsid w:val="170B3487"/>
    <w:rsid w:val="186312EE"/>
    <w:rsid w:val="1A606154"/>
    <w:rsid w:val="1BFE07FD"/>
    <w:rsid w:val="1CCB3B83"/>
    <w:rsid w:val="1E5F2BA2"/>
    <w:rsid w:val="1E8C407A"/>
    <w:rsid w:val="1EA52BEE"/>
    <w:rsid w:val="206C583C"/>
    <w:rsid w:val="207B41D3"/>
    <w:rsid w:val="21A15D18"/>
    <w:rsid w:val="21B662F2"/>
    <w:rsid w:val="22E744B0"/>
    <w:rsid w:val="23264135"/>
    <w:rsid w:val="232A7333"/>
    <w:rsid w:val="23EF35DA"/>
    <w:rsid w:val="23FC3160"/>
    <w:rsid w:val="2477097A"/>
    <w:rsid w:val="249819B6"/>
    <w:rsid w:val="24D81D14"/>
    <w:rsid w:val="24EE2D08"/>
    <w:rsid w:val="26F2093C"/>
    <w:rsid w:val="27912E81"/>
    <w:rsid w:val="27A0606A"/>
    <w:rsid w:val="2835675C"/>
    <w:rsid w:val="286D5386"/>
    <w:rsid w:val="2A2221E6"/>
    <w:rsid w:val="2A8510A8"/>
    <w:rsid w:val="2A966A40"/>
    <w:rsid w:val="2B9D3CB2"/>
    <w:rsid w:val="2D321AA6"/>
    <w:rsid w:val="2EB9225A"/>
    <w:rsid w:val="2F590196"/>
    <w:rsid w:val="307F2CF6"/>
    <w:rsid w:val="307F7008"/>
    <w:rsid w:val="326841F9"/>
    <w:rsid w:val="331C417F"/>
    <w:rsid w:val="335E5395"/>
    <w:rsid w:val="33A73465"/>
    <w:rsid w:val="34012042"/>
    <w:rsid w:val="34B87630"/>
    <w:rsid w:val="3523784E"/>
    <w:rsid w:val="35365D0C"/>
    <w:rsid w:val="35DC59A3"/>
    <w:rsid w:val="372350F6"/>
    <w:rsid w:val="380371B3"/>
    <w:rsid w:val="395A699C"/>
    <w:rsid w:val="39DD6E3B"/>
    <w:rsid w:val="3A214493"/>
    <w:rsid w:val="3A3D39F5"/>
    <w:rsid w:val="3B34703B"/>
    <w:rsid w:val="3B364D20"/>
    <w:rsid w:val="3BA831C9"/>
    <w:rsid w:val="3D223B5D"/>
    <w:rsid w:val="3DA40BC7"/>
    <w:rsid w:val="3E2E4734"/>
    <w:rsid w:val="3EAF1A8C"/>
    <w:rsid w:val="3F7E1B7C"/>
    <w:rsid w:val="41D61E66"/>
    <w:rsid w:val="41FE394B"/>
    <w:rsid w:val="423D17A8"/>
    <w:rsid w:val="43B0780F"/>
    <w:rsid w:val="45413E87"/>
    <w:rsid w:val="46461FCF"/>
    <w:rsid w:val="46603615"/>
    <w:rsid w:val="4712367B"/>
    <w:rsid w:val="47584D4D"/>
    <w:rsid w:val="476C292E"/>
    <w:rsid w:val="48F51A3E"/>
    <w:rsid w:val="49B83AFD"/>
    <w:rsid w:val="4A3E7D2F"/>
    <w:rsid w:val="4D6454BF"/>
    <w:rsid w:val="4DCE0B9C"/>
    <w:rsid w:val="4E917AA8"/>
    <w:rsid w:val="4E987B7F"/>
    <w:rsid w:val="4ED62A06"/>
    <w:rsid w:val="505F1748"/>
    <w:rsid w:val="51A612BA"/>
    <w:rsid w:val="52040E34"/>
    <w:rsid w:val="530C28C7"/>
    <w:rsid w:val="54221438"/>
    <w:rsid w:val="55096B1E"/>
    <w:rsid w:val="55AE74DB"/>
    <w:rsid w:val="573D70A7"/>
    <w:rsid w:val="57610782"/>
    <w:rsid w:val="585F2BA2"/>
    <w:rsid w:val="5A134863"/>
    <w:rsid w:val="5AD37558"/>
    <w:rsid w:val="5CA7268F"/>
    <w:rsid w:val="5CF7272E"/>
    <w:rsid w:val="5D5B236D"/>
    <w:rsid w:val="5EC3195A"/>
    <w:rsid w:val="5EE35C94"/>
    <w:rsid w:val="6027603C"/>
    <w:rsid w:val="607B07EB"/>
    <w:rsid w:val="619A5D94"/>
    <w:rsid w:val="62E01024"/>
    <w:rsid w:val="631F11EB"/>
    <w:rsid w:val="63A6610F"/>
    <w:rsid w:val="63EC1948"/>
    <w:rsid w:val="647B23B6"/>
    <w:rsid w:val="672821BD"/>
    <w:rsid w:val="682662EC"/>
    <w:rsid w:val="691A1575"/>
    <w:rsid w:val="6A557C51"/>
    <w:rsid w:val="6BA50C47"/>
    <w:rsid w:val="6E577440"/>
    <w:rsid w:val="6EDD0C3E"/>
    <w:rsid w:val="6FE45FAE"/>
    <w:rsid w:val="7222172C"/>
    <w:rsid w:val="72252A34"/>
    <w:rsid w:val="72352F16"/>
    <w:rsid w:val="73305A72"/>
    <w:rsid w:val="737054AC"/>
    <w:rsid w:val="739D1555"/>
    <w:rsid w:val="754A118B"/>
    <w:rsid w:val="755E5ED2"/>
    <w:rsid w:val="762D2458"/>
    <w:rsid w:val="766B71FB"/>
    <w:rsid w:val="775B105B"/>
    <w:rsid w:val="7B573707"/>
    <w:rsid w:val="7C265172"/>
    <w:rsid w:val="7D7612AD"/>
    <w:rsid w:val="7E540377"/>
    <w:rsid w:val="7F77259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Lines="50" w:afterLines="50" w:line="400" w:lineRule="exact"/>
      <w:outlineLvl w:val="0"/>
    </w:pPr>
    <w:rPr>
      <w:rFonts w:ascii="黑体" w:eastAsia="黑体"/>
      <w:kern w:val="44"/>
      <w:szCs w:val="44"/>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qFormat/>
    <w:uiPriority w:val="0"/>
    <w:pPr>
      <w:keepNext/>
      <w:keepLines/>
      <w:outlineLvl w:val="3"/>
    </w:pPr>
    <w:rPr>
      <w:rFonts w:ascii="Arial" w:hAnsi="Arial"/>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pPr>
  </w:style>
  <w:style w:type="paragraph" w:styleId="9">
    <w:name w:val="toc 7"/>
    <w:basedOn w:val="1"/>
    <w:next w:val="1"/>
    <w:qFormat/>
    <w:uiPriority w:val="0"/>
    <w:pPr>
      <w:ind w:left="1260"/>
      <w:jc w:val="left"/>
    </w:pPr>
    <w:rPr>
      <w:rFonts w:asciiTheme="minorHAnsi" w:hAnsiTheme="minorHAnsi"/>
      <w:sz w:val="18"/>
      <w:szCs w:val="18"/>
    </w:rPr>
  </w:style>
  <w:style w:type="paragraph" w:styleId="10">
    <w:name w:val="Normal Indent"/>
    <w:basedOn w:val="1"/>
    <w:next w:val="7"/>
    <w:link w:val="79"/>
    <w:qFormat/>
    <w:uiPriority w:val="0"/>
    <w:pPr>
      <w:overflowPunct w:val="0"/>
      <w:autoSpaceDE w:val="0"/>
      <w:spacing w:line="400" w:lineRule="exact"/>
      <w:ind w:firstLine="454" w:firstLineChars="200"/>
    </w:pPr>
    <w:rPr>
      <w:kern w:val="0"/>
      <w:sz w:val="24"/>
      <w:szCs w:val="20"/>
    </w:rPr>
  </w:style>
  <w:style w:type="paragraph" w:styleId="11">
    <w:name w:val="caption"/>
    <w:basedOn w:val="1"/>
    <w:next w:val="1"/>
    <w:unhideWhenUsed/>
    <w:qFormat/>
    <w:uiPriority w:val="0"/>
    <w:rPr>
      <w:rFonts w:eastAsia="黑体" w:asciiTheme="majorHAnsi" w:hAnsiTheme="majorHAnsi" w:cstheme="majorBidi"/>
      <w:sz w:val="20"/>
      <w:szCs w:val="20"/>
    </w:rPr>
  </w:style>
  <w:style w:type="paragraph" w:styleId="12">
    <w:name w:val="Document Map"/>
    <w:basedOn w:val="1"/>
    <w:semiHidden/>
    <w:qFormat/>
    <w:uiPriority w:val="0"/>
    <w:pPr>
      <w:shd w:val="clear" w:color="auto" w:fill="000080"/>
    </w:pPr>
  </w:style>
  <w:style w:type="paragraph" w:styleId="13">
    <w:name w:val="annotation text"/>
    <w:basedOn w:val="1"/>
    <w:link w:val="59"/>
    <w:unhideWhenUsed/>
    <w:qFormat/>
    <w:uiPriority w:val="0"/>
    <w:pPr>
      <w:jc w:val="left"/>
    </w:pPr>
    <w:rPr>
      <w:kern w:val="0"/>
      <w:sz w:val="20"/>
      <w:szCs w:val="20"/>
    </w:rPr>
  </w:style>
  <w:style w:type="paragraph" w:styleId="14">
    <w:name w:val="Body Text Indent"/>
    <w:basedOn w:val="1"/>
    <w:qFormat/>
    <w:uiPriority w:val="0"/>
    <w:pPr>
      <w:spacing w:after="120" w:line="360" w:lineRule="auto"/>
      <w:ind w:left="420" w:leftChars="200" w:firstLine="482"/>
    </w:pPr>
    <w:rPr>
      <w:sz w:val="24"/>
      <w:szCs w:val="20"/>
    </w:rPr>
  </w:style>
  <w:style w:type="paragraph" w:styleId="15">
    <w:name w:val="toc 5"/>
    <w:basedOn w:val="1"/>
    <w:next w:val="1"/>
    <w:qFormat/>
    <w:uiPriority w:val="0"/>
    <w:pPr>
      <w:ind w:left="840"/>
      <w:jc w:val="left"/>
    </w:pPr>
    <w:rPr>
      <w:rFonts w:asciiTheme="minorHAnsi" w:hAnsiTheme="minorHAnsi"/>
      <w:sz w:val="18"/>
      <w:szCs w:val="18"/>
    </w:rPr>
  </w:style>
  <w:style w:type="paragraph" w:styleId="16">
    <w:name w:val="toc 3"/>
    <w:basedOn w:val="1"/>
    <w:next w:val="1"/>
    <w:qFormat/>
    <w:uiPriority w:val="0"/>
    <w:pPr>
      <w:ind w:left="420"/>
      <w:jc w:val="left"/>
    </w:pPr>
    <w:rPr>
      <w:rFonts w:asciiTheme="minorHAnsi" w:hAnsiTheme="minorHAnsi"/>
      <w:i/>
      <w:iCs/>
      <w:sz w:val="20"/>
      <w:szCs w:val="20"/>
    </w:rPr>
  </w:style>
  <w:style w:type="paragraph" w:styleId="17">
    <w:name w:val="Plain Text"/>
    <w:basedOn w:val="1"/>
    <w:next w:val="1"/>
    <w:link w:val="82"/>
    <w:qFormat/>
    <w:uiPriority w:val="0"/>
    <w:pPr>
      <w:spacing w:line="420" w:lineRule="exact"/>
      <w:ind w:firstLine="200" w:firstLineChars="200"/>
    </w:pPr>
    <w:rPr>
      <w:rFonts w:ascii="宋体" w:hAnsi="Courier New" w:cs="Courier New"/>
      <w:szCs w:val="21"/>
    </w:rPr>
  </w:style>
  <w:style w:type="paragraph" w:styleId="18">
    <w:name w:val="toc 8"/>
    <w:basedOn w:val="1"/>
    <w:next w:val="1"/>
    <w:qFormat/>
    <w:uiPriority w:val="0"/>
    <w:pPr>
      <w:ind w:left="1470"/>
      <w:jc w:val="left"/>
    </w:pPr>
    <w:rPr>
      <w:rFonts w:asciiTheme="minorHAnsi" w:hAnsiTheme="minorHAnsi"/>
      <w:sz w:val="18"/>
      <w:szCs w:val="18"/>
    </w:rPr>
  </w:style>
  <w:style w:type="paragraph" w:styleId="19">
    <w:name w:val="Body Text Indent 2"/>
    <w:basedOn w:val="1"/>
    <w:semiHidden/>
    <w:qFormat/>
    <w:uiPriority w:val="0"/>
    <w:pPr>
      <w:ind w:firstLine="570"/>
    </w:pPr>
    <w:rPr>
      <w:rFonts w:ascii="宋体" w:hAnsi="宋体"/>
      <w:b/>
      <w:bCs/>
      <w:sz w:val="28"/>
    </w:rPr>
  </w:style>
  <w:style w:type="paragraph" w:styleId="20">
    <w:name w:val="Balloon Text"/>
    <w:basedOn w:val="1"/>
    <w:semiHidden/>
    <w:qFormat/>
    <w:uiPriority w:val="0"/>
    <w:rPr>
      <w:sz w:val="18"/>
      <w:szCs w:val="18"/>
    </w:rPr>
  </w:style>
  <w:style w:type="paragraph" w:styleId="21">
    <w:name w:val="footer"/>
    <w:basedOn w:val="1"/>
    <w:link w:val="88"/>
    <w:qFormat/>
    <w:uiPriority w:val="0"/>
    <w:pPr>
      <w:tabs>
        <w:tab w:val="center" w:pos="4153"/>
        <w:tab w:val="right" w:pos="8306"/>
      </w:tabs>
      <w:snapToGrid w:val="0"/>
      <w:jc w:val="left"/>
    </w:pPr>
    <w:rPr>
      <w:sz w:val="18"/>
      <w:szCs w:val="18"/>
    </w:rPr>
  </w:style>
  <w:style w:type="paragraph" w:styleId="22">
    <w:name w:val="header"/>
    <w:basedOn w:val="1"/>
    <w:link w:val="87"/>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061"/>
      </w:tabs>
      <w:spacing w:line="460" w:lineRule="exact"/>
      <w:jc w:val="left"/>
    </w:pPr>
    <w:rPr>
      <w:rFonts w:asciiTheme="minorHAnsi" w:hAnsiTheme="minorHAnsi"/>
      <w:b/>
      <w:bCs/>
      <w:caps/>
      <w:sz w:val="20"/>
      <w:szCs w:val="20"/>
    </w:rPr>
  </w:style>
  <w:style w:type="paragraph" w:styleId="24">
    <w:name w:val="toc 4"/>
    <w:basedOn w:val="1"/>
    <w:next w:val="1"/>
    <w:qFormat/>
    <w:uiPriority w:val="0"/>
    <w:pPr>
      <w:ind w:left="630"/>
      <w:jc w:val="left"/>
    </w:pPr>
    <w:rPr>
      <w:rFonts w:asciiTheme="minorHAnsi" w:hAnsiTheme="minorHAnsi"/>
      <w:sz w:val="18"/>
      <w:szCs w:val="18"/>
    </w:rPr>
  </w:style>
  <w:style w:type="paragraph" w:styleId="25">
    <w:name w:val="toc 6"/>
    <w:basedOn w:val="1"/>
    <w:next w:val="1"/>
    <w:qFormat/>
    <w:uiPriority w:val="0"/>
    <w:pPr>
      <w:ind w:left="1050"/>
      <w:jc w:val="left"/>
    </w:pPr>
    <w:rPr>
      <w:rFonts w:asciiTheme="minorHAnsi" w:hAnsiTheme="minorHAnsi"/>
      <w:sz w:val="18"/>
      <w:szCs w:val="18"/>
    </w:rPr>
  </w:style>
  <w:style w:type="paragraph" w:styleId="26">
    <w:name w:val="Body Text Indent 3"/>
    <w:basedOn w:val="1"/>
    <w:qFormat/>
    <w:uiPriority w:val="0"/>
    <w:pPr>
      <w:spacing w:after="120"/>
      <w:ind w:left="420" w:leftChars="200"/>
    </w:pPr>
    <w:rPr>
      <w:sz w:val="16"/>
      <w:szCs w:val="16"/>
    </w:rPr>
  </w:style>
  <w:style w:type="paragraph" w:styleId="27">
    <w:name w:val="toc 2"/>
    <w:basedOn w:val="1"/>
    <w:next w:val="1"/>
    <w:qFormat/>
    <w:uiPriority w:val="0"/>
    <w:pPr>
      <w:ind w:left="210"/>
      <w:jc w:val="left"/>
    </w:pPr>
    <w:rPr>
      <w:rFonts w:asciiTheme="minorHAnsi" w:hAnsiTheme="minorHAnsi"/>
      <w:smallCaps/>
      <w:sz w:val="20"/>
      <w:szCs w:val="20"/>
    </w:rPr>
  </w:style>
  <w:style w:type="paragraph" w:styleId="28">
    <w:name w:val="toc 9"/>
    <w:basedOn w:val="1"/>
    <w:next w:val="1"/>
    <w:qFormat/>
    <w:uiPriority w:val="0"/>
    <w:pPr>
      <w:ind w:left="1680"/>
      <w:jc w:val="left"/>
    </w:pPr>
    <w:rPr>
      <w:rFonts w:asciiTheme="minorHAnsi" w:hAnsiTheme="minorHAnsi"/>
      <w:sz w:val="18"/>
      <w:szCs w:val="18"/>
    </w:rPr>
  </w:style>
  <w:style w:type="paragraph" w:styleId="2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0">
    <w:name w:val="index 1"/>
    <w:basedOn w:val="1"/>
    <w:next w:val="1"/>
    <w:semiHidden/>
    <w:qFormat/>
    <w:uiPriority w:val="0"/>
    <w:pPr>
      <w:spacing w:line="280" w:lineRule="exact"/>
    </w:pPr>
    <w:rPr>
      <w:rFonts w:ascii="宋体" w:hAnsi="宋体"/>
      <w:b/>
      <w:bCs/>
      <w:sz w:val="24"/>
    </w:rPr>
  </w:style>
  <w:style w:type="paragraph" w:styleId="31">
    <w:name w:val="annotation subject"/>
    <w:basedOn w:val="13"/>
    <w:next w:val="13"/>
    <w:semiHidden/>
    <w:qFormat/>
    <w:uiPriority w:val="0"/>
    <w:rPr>
      <w:b/>
      <w:bCs/>
      <w:kern w:val="2"/>
      <w:sz w:val="21"/>
      <w:szCs w:val="24"/>
    </w:r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5">
    <w:name w:val="page number"/>
    <w:basedOn w:val="34"/>
    <w:qFormat/>
    <w:uiPriority w:val="0"/>
  </w:style>
  <w:style w:type="character" w:styleId="36">
    <w:name w:val="Hyperlink"/>
    <w:qFormat/>
    <w:uiPriority w:val="99"/>
    <w:rPr>
      <w:color w:val="0000FF"/>
      <w:u w:val="single"/>
    </w:rPr>
  </w:style>
  <w:style w:type="character" w:styleId="37">
    <w:name w:val="annotation reference"/>
    <w:semiHidden/>
    <w:qFormat/>
    <w:uiPriority w:val="0"/>
    <w:rPr>
      <w:sz w:val="21"/>
      <w:szCs w:val="21"/>
    </w:rPr>
  </w:style>
  <w:style w:type="paragraph" w:customStyle="1" w:styleId="38">
    <w:name w:val="表格"/>
    <w:basedOn w:val="1"/>
    <w:qFormat/>
    <w:uiPriority w:val="0"/>
    <w:pPr>
      <w:keepNext/>
      <w:adjustRightInd w:val="0"/>
      <w:spacing w:line="312" w:lineRule="atLeast"/>
      <w:jc w:val="center"/>
      <w:textAlignment w:val="baseline"/>
    </w:pPr>
    <w:rPr>
      <w:kern w:val="0"/>
      <w:szCs w:val="20"/>
    </w:rPr>
  </w:style>
  <w:style w:type="paragraph" w:customStyle="1" w:styleId="39">
    <w:name w:val="表格文字"/>
    <w:basedOn w:val="1"/>
    <w:next w:val="1"/>
    <w:qFormat/>
    <w:uiPriority w:val="0"/>
    <w:pPr>
      <w:tabs>
        <w:tab w:val="left" w:pos="0"/>
        <w:tab w:val="left" w:pos="7380"/>
      </w:tabs>
      <w:adjustRightInd w:val="0"/>
      <w:snapToGrid w:val="0"/>
      <w:jc w:val="center"/>
    </w:pPr>
    <w:rPr>
      <w:spacing w:val="2"/>
      <w:kern w:val="21"/>
      <w:szCs w:val="21"/>
      <w:lang w:val="de-DE"/>
    </w:rPr>
  </w:style>
  <w:style w:type="paragraph" w:customStyle="1" w:styleId="40">
    <w:name w:val="表头"/>
    <w:basedOn w:val="1"/>
    <w:next w:val="1"/>
    <w:qFormat/>
    <w:uiPriority w:val="0"/>
    <w:pPr>
      <w:tabs>
        <w:tab w:val="left" w:pos="4680"/>
      </w:tabs>
      <w:snapToGrid w:val="0"/>
      <w:spacing w:line="300" w:lineRule="exact"/>
      <w:ind w:firstLine="445" w:firstLineChars="200"/>
      <w:jc w:val="center"/>
    </w:pPr>
    <w:rPr>
      <w:b/>
      <w:w w:val="105"/>
      <w:kern w:val="0"/>
      <w:szCs w:val="21"/>
    </w:rPr>
  </w:style>
  <w:style w:type="paragraph" w:customStyle="1" w:styleId="41">
    <w:name w:val="标题4"/>
    <w:basedOn w:val="1"/>
    <w:next w:val="1"/>
    <w:qFormat/>
    <w:uiPriority w:val="0"/>
    <w:pPr>
      <w:spacing w:line="360" w:lineRule="auto"/>
      <w:ind w:firstLine="440" w:firstLineChars="200"/>
      <w:jc w:val="center"/>
    </w:pPr>
    <w:rPr>
      <w:w w:val="105"/>
      <w:kern w:val="0"/>
      <w:szCs w:val="21"/>
    </w:rPr>
  </w:style>
  <w:style w:type="paragraph" w:customStyle="1" w:styleId="42">
    <w:name w:val="Char Char Char Char"/>
    <w:basedOn w:val="1"/>
    <w:link w:val="85"/>
    <w:qFormat/>
    <w:uiPriority w:val="0"/>
  </w:style>
  <w:style w:type="paragraph" w:customStyle="1" w:styleId="43">
    <w:name w:val="文本格式"/>
    <w:basedOn w:val="1"/>
    <w:link w:val="44"/>
    <w:qFormat/>
    <w:uiPriority w:val="0"/>
    <w:pPr>
      <w:spacing w:line="480" w:lineRule="exact"/>
      <w:ind w:firstLine="520" w:firstLineChars="200"/>
    </w:pPr>
    <w:rPr>
      <w:bCs/>
      <w:sz w:val="26"/>
      <w:szCs w:val="26"/>
    </w:rPr>
  </w:style>
  <w:style w:type="character" w:customStyle="1" w:styleId="44">
    <w:name w:val="文本格式 Char"/>
    <w:link w:val="43"/>
    <w:qFormat/>
    <w:uiPriority w:val="0"/>
    <w:rPr>
      <w:rFonts w:eastAsia="宋体"/>
      <w:bCs/>
      <w:kern w:val="2"/>
      <w:sz w:val="26"/>
      <w:szCs w:val="26"/>
      <w:lang w:val="en-US" w:eastAsia="zh-CN" w:bidi="ar-SA"/>
    </w:rPr>
  </w:style>
  <w:style w:type="paragraph" w:customStyle="1" w:styleId="45">
    <w:name w:val="正文段"/>
    <w:basedOn w:val="1"/>
    <w:link w:val="46"/>
    <w:qFormat/>
    <w:uiPriority w:val="0"/>
    <w:pPr>
      <w:spacing w:line="360" w:lineRule="auto"/>
      <w:ind w:firstLine="200" w:firstLineChars="200"/>
    </w:pPr>
    <w:rPr>
      <w:rFonts w:ascii="仿宋_GB2312" w:eastAsia="仿宋_GB2312"/>
      <w:color w:val="000000"/>
      <w:sz w:val="28"/>
      <w:szCs w:val="28"/>
    </w:rPr>
  </w:style>
  <w:style w:type="character" w:customStyle="1" w:styleId="46">
    <w:name w:val="正文段 Char"/>
    <w:link w:val="45"/>
    <w:qFormat/>
    <w:uiPriority w:val="0"/>
    <w:rPr>
      <w:rFonts w:ascii="仿宋_GB2312" w:eastAsia="仿宋_GB2312"/>
      <w:color w:val="000000"/>
      <w:kern w:val="2"/>
      <w:sz w:val="28"/>
      <w:szCs w:val="28"/>
      <w:lang w:val="en-US" w:eastAsia="zh-CN" w:bidi="ar-SA"/>
    </w:rPr>
  </w:style>
  <w:style w:type="paragraph" w:customStyle="1" w:styleId="47">
    <w:name w:val="表格文字 Char"/>
    <w:basedOn w:val="1"/>
    <w:next w:val="1"/>
    <w:link w:val="48"/>
    <w:qFormat/>
    <w:uiPriority w:val="0"/>
    <w:pPr>
      <w:tabs>
        <w:tab w:val="left" w:pos="1080"/>
      </w:tabs>
      <w:snapToGrid w:val="0"/>
      <w:spacing w:line="500" w:lineRule="exact"/>
      <w:jc w:val="center"/>
    </w:pPr>
    <w:rPr>
      <w:color w:val="000000"/>
      <w:sz w:val="24"/>
      <w:szCs w:val="20"/>
    </w:rPr>
  </w:style>
  <w:style w:type="character" w:customStyle="1" w:styleId="48">
    <w:name w:val="表格文字 Char Char"/>
    <w:link w:val="47"/>
    <w:qFormat/>
    <w:uiPriority w:val="0"/>
    <w:rPr>
      <w:rFonts w:eastAsia="宋体"/>
      <w:color w:val="000000"/>
      <w:kern w:val="2"/>
      <w:sz w:val="24"/>
      <w:lang w:val="en-US" w:eastAsia="zh-CN" w:bidi="ar-SA"/>
    </w:rPr>
  </w:style>
  <w:style w:type="paragraph" w:customStyle="1" w:styleId="49">
    <w:name w:val="表头 Char"/>
    <w:basedOn w:val="1"/>
    <w:next w:val="1"/>
    <w:link w:val="50"/>
    <w:qFormat/>
    <w:uiPriority w:val="0"/>
    <w:pPr>
      <w:tabs>
        <w:tab w:val="left" w:pos="1080"/>
      </w:tabs>
      <w:snapToGrid w:val="0"/>
      <w:spacing w:line="360" w:lineRule="auto"/>
      <w:jc w:val="center"/>
    </w:pPr>
    <w:rPr>
      <w:sz w:val="24"/>
      <w:szCs w:val="20"/>
    </w:rPr>
  </w:style>
  <w:style w:type="character" w:customStyle="1" w:styleId="50">
    <w:name w:val="表头 Char Char"/>
    <w:link w:val="49"/>
    <w:qFormat/>
    <w:uiPriority w:val="0"/>
    <w:rPr>
      <w:rFonts w:eastAsia="宋体"/>
      <w:kern w:val="2"/>
      <w:sz w:val="24"/>
      <w:lang w:val="en-US" w:eastAsia="zh-CN" w:bidi="ar-SA"/>
    </w:rPr>
  </w:style>
  <w:style w:type="paragraph" w:customStyle="1" w:styleId="51">
    <w:name w:val="默认段落字体 Para Char"/>
    <w:basedOn w:val="1"/>
    <w:qFormat/>
    <w:uiPriority w:val="0"/>
    <w:pPr>
      <w:spacing w:line="360" w:lineRule="auto"/>
      <w:ind w:firstLine="200" w:firstLineChars="200"/>
    </w:pPr>
    <w:rPr>
      <w:rFonts w:ascii="宋体" w:hAnsi="宋体" w:cs="宋体"/>
      <w:sz w:val="24"/>
    </w:rPr>
  </w:style>
  <w:style w:type="paragraph" w:customStyle="1" w:styleId="52">
    <w:name w:val="表格文字（小）"/>
    <w:basedOn w:val="1"/>
    <w:qFormat/>
    <w:uiPriority w:val="0"/>
    <w:pPr>
      <w:tabs>
        <w:tab w:val="left" w:pos="1080"/>
      </w:tabs>
      <w:snapToGrid w:val="0"/>
      <w:jc w:val="center"/>
    </w:pPr>
    <w:rPr>
      <w:color w:val="000000"/>
      <w:szCs w:val="20"/>
    </w:rPr>
  </w:style>
  <w:style w:type="paragraph" w:customStyle="1" w:styleId="53">
    <w:name w:val="表格文字1"/>
    <w:basedOn w:val="1"/>
    <w:qFormat/>
    <w:uiPriority w:val="0"/>
    <w:pPr>
      <w:tabs>
        <w:tab w:val="left" w:pos="1080"/>
      </w:tabs>
      <w:snapToGrid w:val="0"/>
      <w:spacing w:line="320" w:lineRule="exact"/>
      <w:jc w:val="center"/>
    </w:pPr>
    <w:rPr>
      <w:kern w:val="32"/>
      <w:sz w:val="24"/>
      <w:szCs w:val="20"/>
      <w:lang w:val="de-DE"/>
    </w:rPr>
  </w:style>
  <w:style w:type="paragraph" w:customStyle="1" w:styleId="54">
    <w:name w:val="xl24"/>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4"/>
      <w:szCs w:val="20"/>
    </w:rPr>
  </w:style>
  <w:style w:type="paragraph" w:customStyle="1" w:styleId="55">
    <w:name w:val="正文1"/>
    <w:basedOn w:val="1"/>
    <w:qFormat/>
    <w:uiPriority w:val="0"/>
    <w:pPr>
      <w:spacing w:line="480" w:lineRule="exact"/>
      <w:ind w:firstLine="482"/>
    </w:pPr>
    <w:rPr>
      <w:sz w:val="24"/>
      <w:szCs w:val="20"/>
    </w:rPr>
  </w:style>
  <w:style w:type="paragraph" w:customStyle="1" w:styleId="56">
    <w:name w:val="表格样式1"/>
    <w:basedOn w:val="1"/>
    <w:qFormat/>
    <w:uiPriority w:val="0"/>
    <w:pPr>
      <w:adjustRightInd w:val="0"/>
      <w:spacing w:line="20" w:lineRule="atLeast"/>
      <w:jc w:val="center"/>
      <w:textAlignment w:val="baseline"/>
    </w:pPr>
    <w:rPr>
      <w:rFonts w:ascii="宋体"/>
      <w:kern w:val="0"/>
      <w:szCs w:val="20"/>
    </w:rPr>
  </w:style>
  <w:style w:type="paragraph" w:customStyle="1" w:styleId="57">
    <w:name w:val="Char3"/>
    <w:basedOn w:val="1"/>
    <w:next w:val="1"/>
    <w:qFormat/>
    <w:uiPriority w:val="0"/>
    <w:pPr>
      <w:spacing w:line="360" w:lineRule="auto"/>
      <w:ind w:firstLine="200" w:firstLineChars="200"/>
    </w:pPr>
    <w:rPr>
      <w:rFonts w:ascii="宋体" w:hAnsi="宋体" w:cs="宋体"/>
      <w:sz w:val="24"/>
    </w:rPr>
  </w:style>
  <w:style w:type="paragraph" w:customStyle="1" w:styleId="58">
    <w:name w:val="CM8"/>
    <w:basedOn w:val="1"/>
    <w:next w:val="1"/>
    <w:qFormat/>
    <w:uiPriority w:val="0"/>
    <w:pPr>
      <w:autoSpaceDE w:val="0"/>
      <w:autoSpaceDN w:val="0"/>
      <w:adjustRightInd w:val="0"/>
      <w:spacing w:line="468" w:lineRule="atLeast"/>
      <w:jc w:val="left"/>
    </w:pPr>
    <w:rPr>
      <w:rFonts w:ascii="Sim Sun+ 2" w:hAnsi="Calibri" w:eastAsia="Sim Sun+ 2"/>
      <w:kern w:val="0"/>
      <w:sz w:val="24"/>
    </w:rPr>
  </w:style>
  <w:style w:type="character" w:customStyle="1" w:styleId="59">
    <w:name w:val="批注文字 Char"/>
    <w:link w:val="13"/>
    <w:semiHidden/>
    <w:qFormat/>
    <w:uiPriority w:val="0"/>
    <w:rPr>
      <w:rFonts w:eastAsia="宋体"/>
      <w:lang w:val="en-US" w:eastAsia="zh-CN" w:bidi="ar-SA"/>
    </w:rPr>
  </w:style>
  <w:style w:type="paragraph" w:styleId="60">
    <w:name w:val="List Paragraph"/>
    <w:basedOn w:val="1"/>
    <w:qFormat/>
    <w:uiPriority w:val="0"/>
    <w:pPr>
      <w:ind w:firstLine="420" w:firstLineChars="200"/>
    </w:pPr>
    <w:rPr>
      <w:kern w:val="0"/>
      <w:sz w:val="20"/>
      <w:szCs w:val="20"/>
    </w:rPr>
  </w:style>
  <w:style w:type="paragraph" w:customStyle="1" w:styleId="61">
    <w:name w:val="表文字"/>
    <w:basedOn w:val="1"/>
    <w:qFormat/>
    <w:uiPriority w:val="0"/>
    <w:pPr>
      <w:snapToGrid w:val="0"/>
      <w:ind w:hanging="35"/>
      <w:jc w:val="center"/>
    </w:pPr>
    <w:rPr>
      <w:rFonts w:ascii="宋体"/>
      <w:color w:val="000000"/>
      <w:szCs w:val="28"/>
    </w:rPr>
  </w:style>
  <w:style w:type="paragraph" w:customStyle="1" w:styleId="62">
    <w:name w:val="Default"/>
    <w:qFormat/>
    <w:uiPriority w:val="0"/>
    <w:pPr>
      <w:widowControl w:val="0"/>
      <w:autoSpaceDE w:val="0"/>
      <w:autoSpaceDN w:val="0"/>
      <w:adjustRightInd w:val="0"/>
    </w:pPr>
    <w:rPr>
      <w:rFonts w:ascii="Sim Sun+ 2" w:hAnsi="Calibri" w:eastAsia="Sim Sun+ 2" w:cs="Sim Sun+ 2"/>
      <w:color w:val="000000"/>
      <w:sz w:val="24"/>
      <w:szCs w:val="24"/>
      <w:lang w:val="en-US" w:eastAsia="zh-CN" w:bidi="ar-SA"/>
    </w:rPr>
  </w:style>
  <w:style w:type="paragraph" w:customStyle="1" w:styleId="63">
    <w:name w:val="CM12"/>
    <w:basedOn w:val="62"/>
    <w:next w:val="62"/>
    <w:qFormat/>
    <w:uiPriority w:val="0"/>
    <w:pPr>
      <w:spacing w:line="468" w:lineRule="atLeast"/>
    </w:pPr>
    <w:rPr>
      <w:rFonts w:cs="Times New Roman"/>
      <w:color w:val="auto"/>
    </w:rPr>
  </w:style>
  <w:style w:type="paragraph" w:customStyle="1" w:styleId="64">
    <w:name w:val="CM14"/>
    <w:basedOn w:val="62"/>
    <w:next w:val="62"/>
    <w:qFormat/>
    <w:uiPriority w:val="0"/>
    <w:pPr>
      <w:spacing w:line="468" w:lineRule="atLeast"/>
    </w:pPr>
    <w:rPr>
      <w:rFonts w:cs="Times New Roman"/>
      <w:color w:val="auto"/>
    </w:rPr>
  </w:style>
  <w:style w:type="paragraph" w:customStyle="1" w:styleId="65">
    <w:name w:val="CM17"/>
    <w:basedOn w:val="62"/>
    <w:next w:val="62"/>
    <w:qFormat/>
    <w:uiPriority w:val="0"/>
    <w:pPr>
      <w:spacing w:line="468" w:lineRule="atLeast"/>
    </w:pPr>
    <w:rPr>
      <w:rFonts w:cs="Times New Roman"/>
      <w:color w:val="auto"/>
    </w:rPr>
  </w:style>
  <w:style w:type="paragraph" w:customStyle="1" w:styleId="66">
    <w:name w:val="普通文字"/>
    <w:basedOn w:val="1"/>
    <w:qFormat/>
    <w:uiPriority w:val="0"/>
    <w:pPr>
      <w:adjustRightInd w:val="0"/>
      <w:snapToGrid w:val="0"/>
      <w:spacing w:line="360" w:lineRule="exact"/>
      <w:textAlignment w:val="baseline"/>
    </w:pPr>
    <w:rPr>
      <w:rFonts w:eastAsia="仿宋_GB2312"/>
      <w:kern w:val="21"/>
      <w:szCs w:val="20"/>
    </w:rPr>
  </w:style>
  <w:style w:type="paragraph" w:customStyle="1" w:styleId="67">
    <w:name w:val="样式 标题 3 + 四号 非加粗"/>
    <w:basedOn w:val="6"/>
    <w:link w:val="68"/>
    <w:qFormat/>
    <w:uiPriority w:val="0"/>
    <w:rPr>
      <w:b w:val="0"/>
      <w:bCs w:val="0"/>
      <w:sz w:val="24"/>
    </w:rPr>
  </w:style>
  <w:style w:type="character" w:customStyle="1" w:styleId="68">
    <w:name w:val="样式 标题 3 + 四号 非加粗 Char"/>
    <w:link w:val="67"/>
    <w:qFormat/>
    <w:uiPriority w:val="0"/>
    <w:rPr>
      <w:rFonts w:eastAsia="宋体"/>
      <w:kern w:val="2"/>
      <w:sz w:val="24"/>
      <w:szCs w:val="32"/>
      <w:lang w:val="en-US" w:eastAsia="zh-CN" w:bidi="ar-SA"/>
    </w:rPr>
  </w:style>
  <w:style w:type="paragraph" w:customStyle="1" w:styleId="69">
    <w:name w:val="表格居中"/>
    <w:basedOn w:val="1"/>
    <w:qFormat/>
    <w:uiPriority w:val="0"/>
    <w:pPr>
      <w:jc w:val="center"/>
    </w:pPr>
    <w:rPr>
      <w:rFonts w:ascii="宋体"/>
      <w:bCs/>
      <w:snapToGrid w:val="0"/>
      <w:kern w:val="0"/>
      <w:szCs w:val="21"/>
      <w:u w:color="FF0000"/>
    </w:rPr>
  </w:style>
  <w:style w:type="paragraph" w:customStyle="1" w:styleId="70">
    <w:name w:val="表内样式"/>
    <w:basedOn w:val="1"/>
    <w:next w:val="1"/>
    <w:qFormat/>
    <w:uiPriority w:val="0"/>
    <w:pPr>
      <w:jc w:val="center"/>
    </w:pPr>
    <w:rPr>
      <w:kern w:val="0"/>
    </w:rPr>
  </w:style>
  <w:style w:type="paragraph" w:customStyle="1" w:styleId="71">
    <w:name w:val="Char Char Char Char Char Char Char"/>
    <w:basedOn w:val="1"/>
    <w:qFormat/>
    <w:uiPriority w:val="0"/>
  </w:style>
  <w:style w:type="paragraph" w:customStyle="1" w:styleId="72">
    <w:name w:val="Char1"/>
    <w:basedOn w:val="1"/>
    <w:link w:val="77"/>
    <w:qFormat/>
    <w:uiPriority w:val="0"/>
    <w:pPr>
      <w:spacing w:line="560" w:lineRule="exact"/>
      <w:ind w:firstLine="200" w:firstLineChars="200"/>
    </w:pPr>
    <w:rPr>
      <w:rFonts w:ascii="宋体" w:hAnsi="宋体" w:cs="宋体"/>
      <w:sz w:val="28"/>
      <w:szCs w:val="28"/>
    </w:rPr>
  </w:style>
  <w:style w:type="paragraph" w:customStyle="1" w:styleId="73">
    <w:name w:val="报告正文"/>
    <w:basedOn w:val="1"/>
    <w:link w:val="74"/>
    <w:qFormat/>
    <w:uiPriority w:val="0"/>
    <w:pPr>
      <w:adjustRightInd w:val="0"/>
      <w:snapToGrid w:val="0"/>
      <w:spacing w:before="78" w:line="300" w:lineRule="auto"/>
      <w:ind w:firstLine="556"/>
    </w:pPr>
    <w:rPr>
      <w:sz w:val="28"/>
      <w:szCs w:val="20"/>
    </w:rPr>
  </w:style>
  <w:style w:type="character" w:customStyle="1" w:styleId="74">
    <w:name w:val="报告正文 Char"/>
    <w:link w:val="73"/>
    <w:qFormat/>
    <w:uiPriority w:val="0"/>
    <w:rPr>
      <w:rFonts w:eastAsia="宋体"/>
      <w:kern w:val="2"/>
      <w:sz w:val="28"/>
      <w:lang w:val="en-US" w:eastAsia="zh-CN" w:bidi="ar-SA"/>
    </w:rPr>
  </w:style>
  <w:style w:type="paragraph" w:customStyle="1" w:styleId="75">
    <w:name w:val="表格内容5号"/>
    <w:link w:val="76"/>
    <w:qFormat/>
    <w:uiPriority w:val="0"/>
    <w:pPr>
      <w:widowControl w:val="0"/>
      <w:snapToGrid w:val="0"/>
      <w:spacing w:line="240" w:lineRule="atLeast"/>
      <w:jc w:val="center"/>
    </w:pPr>
    <w:rPr>
      <w:rFonts w:ascii="Times New Roman" w:hAnsi="Times New Roman" w:eastAsia="宋体" w:cs="Times New Roman"/>
      <w:kern w:val="2"/>
      <w:sz w:val="21"/>
      <w:szCs w:val="24"/>
      <w:lang w:val="en-US" w:eastAsia="zh-CN" w:bidi="ar-SA"/>
    </w:rPr>
  </w:style>
  <w:style w:type="character" w:customStyle="1" w:styleId="76">
    <w:name w:val="表格内容5号 Char"/>
    <w:link w:val="75"/>
    <w:qFormat/>
    <w:uiPriority w:val="0"/>
    <w:rPr>
      <w:kern w:val="2"/>
      <w:sz w:val="21"/>
      <w:szCs w:val="24"/>
      <w:lang w:val="en-US" w:eastAsia="zh-CN" w:bidi="ar-SA"/>
    </w:rPr>
  </w:style>
  <w:style w:type="character" w:customStyle="1" w:styleId="77">
    <w:name w:val="Char Char"/>
    <w:link w:val="72"/>
    <w:qFormat/>
    <w:uiPriority w:val="0"/>
    <w:rPr>
      <w:rFonts w:ascii="宋体" w:hAnsi="宋体" w:eastAsia="宋体" w:cs="宋体"/>
      <w:kern w:val="2"/>
      <w:sz w:val="28"/>
      <w:szCs w:val="28"/>
      <w:lang w:val="en-US" w:eastAsia="zh-CN" w:bidi="ar-SA"/>
    </w:rPr>
  </w:style>
  <w:style w:type="paragraph" w:customStyle="1" w:styleId="78">
    <w:name w:val="表格标题"/>
    <w:basedOn w:val="1"/>
    <w:qFormat/>
    <w:uiPriority w:val="0"/>
    <w:pPr>
      <w:widowControl/>
      <w:spacing w:line="400" w:lineRule="exact"/>
      <w:jc w:val="center"/>
    </w:pPr>
    <w:rPr>
      <w:rFonts w:ascii="宋体" w:hAnsi="宋体" w:eastAsia="黑体" w:cs="宋体"/>
      <w:kern w:val="0"/>
      <w:sz w:val="28"/>
    </w:rPr>
  </w:style>
  <w:style w:type="character" w:customStyle="1" w:styleId="79">
    <w:name w:val="正文缩进 Char1"/>
    <w:link w:val="10"/>
    <w:qFormat/>
    <w:uiPriority w:val="0"/>
    <w:rPr>
      <w:rFonts w:eastAsia="宋体"/>
      <w:sz w:val="24"/>
      <w:lang w:val="en-US" w:eastAsia="zh-CN" w:bidi="ar-SA"/>
    </w:rPr>
  </w:style>
  <w:style w:type="paragraph" w:customStyle="1" w:styleId="80">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81">
    <w:name w:val="表格单位行"/>
    <w:basedOn w:val="1"/>
    <w:qFormat/>
    <w:uiPriority w:val="0"/>
    <w:pPr>
      <w:spacing w:line="400" w:lineRule="exact"/>
    </w:pPr>
    <w:rPr>
      <w:color w:val="000000"/>
      <w:sz w:val="24"/>
      <w:szCs w:val="20"/>
    </w:rPr>
  </w:style>
  <w:style w:type="character" w:customStyle="1" w:styleId="82">
    <w:name w:val="纯文本 Char"/>
    <w:link w:val="17"/>
    <w:qFormat/>
    <w:uiPriority w:val="0"/>
    <w:rPr>
      <w:rFonts w:ascii="宋体" w:hAnsi="Courier New" w:eastAsia="宋体" w:cs="Courier New"/>
      <w:kern w:val="2"/>
      <w:sz w:val="21"/>
      <w:szCs w:val="21"/>
      <w:lang w:val="en-US" w:eastAsia="zh-CN" w:bidi="ar-SA"/>
    </w:rPr>
  </w:style>
  <w:style w:type="paragraph" w:customStyle="1" w:styleId="83">
    <w:name w:val="表内文字，居中4"/>
    <w:basedOn w:val="1"/>
    <w:qFormat/>
    <w:uiPriority w:val="0"/>
    <w:pPr>
      <w:widowControl/>
      <w:jc w:val="center"/>
    </w:pPr>
    <w:rPr>
      <w:kern w:val="0"/>
      <w:szCs w:val="20"/>
    </w:rPr>
  </w:style>
  <w:style w:type="paragraph" w:customStyle="1" w:styleId="84">
    <w:name w:val="Char Char Char Char1"/>
    <w:basedOn w:val="1"/>
    <w:qFormat/>
    <w:uiPriority w:val="0"/>
    <w:rPr>
      <w:szCs w:val="21"/>
    </w:rPr>
  </w:style>
  <w:style w:type="character" w:customStyle="1" w:styleId="85">
    <w:name w:val="Char Char Char Char Char"/>
    <w:link w:val="42"/>
    <w:qFormat/>
    <w:uiPriority w:val="0"/>
    <w:rPr>
      <w:rFonts w:eastAsia="宋体"/>
      <w:kern w:val="2"/>
      <w:sz w:val="21"/>
      <w:szCs w:val="24"/>
      <w:lang w:val="en-US" w:eastAsia="zh-CN" w:bidi="ar-SA"/>
    </w:rPr>
  </w:style>
  <w:style w:type="paragraph" w:customStyle="1" w:styleId="86">
    <w:name w:val="0正文"/>
    <w:basedOn w:val="14"/>
    <w:qFormat/>
    <w:uiPriority w:val="0"/>
    <w:pPr>
      <w:spacing w:after="0" w:line="460" w:lineRule="exact"/>
      <w:ind w:left="0" w:leftChars="0" w:firstLine="200" w:firstLineChars="200"/>
    </w:pPr>
    <w:rPr>
      <w:rFonts w:cs="宋体"/>
      <w:kern w:val="0"/>
    </w:rPr>
  </w:style>
  <w:style w:type="character" w:customStyle="1" w:styleId="87">
    <w:name w:val="页眉 Char"/>
    <w:link w:val="22"/>
    <w:qFormat/>
    <w:uiPriority w:val="99"/>
    <w:rPr>
      <w:kern w:val="2"/>
      <w:sz w:val="18"/>
      <w:szCs w:val="18"/>
    </w:rPr>
  </w:style>
  <w:style w:type="character" w:customStyle="1" w:styleId="88">
    <w:name w:val="页脚 Char"/>
    <w:link w:val="21"/>
    <w:qFormat/>
    <w:uiPriority w:val="0"/>
    <w:rPr>
      <w:kern w:val="2"/>
      <w:sz w:val="18"/>
      <w:szCs w:val="18"/>
    </w:rPr>
  </w:style>
  <w:style w:type="paragraph" w:customStyle="1" w:styleId="89">
    <w:name w:val="表内容"/>
    <w:basedOn w:val="17"/>
    <w:link w:val="91"/>
    <w:qFormat/>
    <w:uiPriority w:val="0"/>
    <w:pPr>
      <w:spacing w:line="240" w:lineRule="auto"/>
      <w:ind w:firstLine="0" w:firstLineChars="0"/>
      <w:jc w:val="center"/>
    </w:pPr>
    <w:rPr>
      <w:rFonts w:ascii="Times New Roman" w:hAnsi="Times New Roman"/>
      <w:bCs/>
    </w:rPr>
  </w:style>
  <w:style w:type="paragraph" w:customStyle="1" w:styleId="90">
    <w:name w:val="自定表头"/>
    <w:basedOn w:val="1"/>
    <w:link w:val="92"/>
    <w:qFormat/>
    <w:uiPriority w:val="0"/>
    <w:pPr>
      <w:spacing w:line="460" w:lineRule="exact"/>
      <w:jc w:val="center"/>
    </w:pPr>
    <w:rPr>
      <w:b/>
    </w:rPr>
  </w:style>
  <w:style w:type="character" w:customStyle="1" w:styleId="91">
    <w:name w:val="表内容 Char"/>
    <w:basedOn w:val="82"/>
    <w:link w:val="89"/>
    <w:qFormat/>
    <w:uiPriority w:val="0"/>
    <w:rPr>
      <w:rFonts w:ascii="宋体" w:hAnsi="Courier New" w:eastAsia="宋体" w:cs="Courier New"/>
      <w:bCs/>
      <w:kern w:val="2"/>
      <w:sz w:val="21"/>
      <w:szCs w:val="21"/>
      <w:lang w:val="en-US" w:eastAsia="zh-CN" w:bidi="ar-SA"/>
    </w:rPr>
  </w:style>
  <w:style w:type="character" w:customStyle="1" w:styleId="92">
    <w:name w:val="自定表头 Char"/>
    <w:basedOn w:val="34"/>
    <w:link w:val="90"/>
    <w:qFormat/>
    <w:uiPriority w:val="0"/>
    <w:rPr>
      <w:b/>
      <w:kern w:val="2"/>
      <w:sz w:val="21"/>
      <w:szCs w:val="24"/>
    </w:rPr>
  </w:style>
  <w:style w:type="paragraph" w:customStyle="1" w:styleId="93">
    <w:name w:val="3 Char Char Char Char Char Char Char Char Char Char"/>
    <w:basedOn w:val="1"/>
    <w:qFormat/>
    <w:uiPriority w:val="0"/>
    <w:pPr>
      <w:snapToGrid w:val="0"/>
      <w:spacing w:line="360" w:lineRule="auto"/>
      <w:ind w:firstLine="200" w:firstLineChars="200"/>
    </w:pPr>
  </w:style>
  <w:style w:type="character" w:customStyle="1" w:styleId="94">
    <w:name w:val="纯文本 Char2"/>
    <w:basedOn w:val="34"/>
    <w:qFormat/>
    <w:uiPriority w:val="0"/>
    <w:rPr>
      <w:rFonts w:ascii="宋体" w:hAnsi="Courier New" w:eastAsia="宋体"/>
      <w:kern w:val="2"/>
      <w:sz w:val="21"/>
      <w:szCs w:val="24"/>
      <w:lang w:val="en-US" w:eastAsia="zh-CN" w:bidi="ar-SA"/>
    </w:rPr>
  </w:style>
  <w:style w:type="paragraph" w:customStyle="1" w:styleId="95">
    <w:name w:val="我的表格文字"/>
    <w:basedOn w:val="1"/>
    <w:qFormat/>
    <w:uiPriority w:val="0"/>
    <w:pPr>
      <w:jc w:val="center"/>
    </w:pPr>
    <w:rPr>
      <w:szCs w:val="21"/>
    </w:rPr>
  </w:style>
  <w:style w:type="paragraph" w:customStyle="1" w:styleId="96">
    <w:name w:val="Char Char Char Char Char Char Char Char Char Char Char Char"/>
    <w:basedOn w:val="1"/>
    <w:qFormat/>
    <w:uiPriority w:val="0"/>
    <w:pPr>
      <w:spacing w:line="360" w:lineRule="auto"/>
    </w:pPr>
    <w:rPr>
      <w:sz w:val="24"/>
    </w:rPr>
  </w:style>
  <w:style w:type="paragraph" w:customStyle="1" w:styleId="97">
    <w:name w:val="Char2 Char Char Char Char Char Char Char Char Char"/>
    <w:basedOn w:val="1"/>
    <w:qFormat/>
    <w:uiPriority w:val="0"/>
    <w:pPr>
      <w:keepNext/>
      <w:keepLines/>
      <w:spacing w:line="300" w:lineRule="auto"/>
    </w:pPr>
    <w:rPr>
      <w:bCs/>
      <w:kern w:val="0"/>
      <w:position w:val="-30"/>
      <w:sz w:val="24"/>
      <w:lang w:eastAsia="en-US"/>
    </w:rPr>
  </w:style>
  <w:style w:type="paragraph" w:customStyle="1" w:styleId="98">
    <w:name w:val="Char2 Char Char Char Char Char Char Char Char Char1"/>
    <w:basedOn w:val="1"/>
    <w:qFormat/>
    <w:uiPriority w:val="0"/>
    <w:pPr>
      <w:keepNext/>
      <w:keepLines/>
      <w:spacing w:line="300" w:lineRule="auto"/>
    </w:pPr>
    <w:rPr>
      <w:bCs/>
      <w:kern w:val="0"/>
      <w:position w:val="-30"/>
      <w:sz w:val="24"/>
      <w:lang w:eastAsia="en-US"/>
    </w:rPr>
  </w:style>
  <w:style w:type="character" w:customStyle="1" w:styleId="99">
    <w:name w:val="style51"/>
    <w:basedOn w:val="34"/>
    <w:qFormat/>
    <w:uiPriority w:val="0"/>
    <w:rPr>
      <w:b/>
      <w:bCs/>
      <w:color w:val="228CD5"/>
      <w:sz w:val="33"/>
      <w:szCs w:val="33"/>
    </w:rPr>
  </w:style>
  <w:style w:type="paragraph" w:customStyle="1" w:styleId="100">
    <w:name w:val="Char2 Char Char Char Char Char Char Char Char Char2"/>
    <w:basedOn w:val="1"/>
    <w:qFormat/>
    <w:uiPriority w:val="0"/>
    <w:pPr>
      <w:keepNext/>
      <w:keepLines/>
      <w:spacing w:line="300" w:lineRule="auto"/>
    </w:pPr>
    <w:rPr>
      <w:bCs/>
      <w:kern w:val="0"/>
      <w:position w:val="-30"/>
      <w:sz w:val="24"/>
      <w:lang w:eastAsia="en-US"/>
    </w:rPr>
  </w:style>
  <w:style w:type="paragraph" w:customStyle="1" w:styleId="101">
    <w:name w:val="正文文字（首行缩进2字）"/>
    <w:basedOn w:val="1"/>
    <w:qFormat/>
    <w:uiPriority w:val="0"/>
    <w:pPr>
      <w:spacing w:line="360" w:lineRule="auto"/>
      <w:ind w:firstLine="200" w:firstLineChars="200"/>
    </w:pPr>
    <w:rPr>
      <w:rFonts w:ascii="Arial" w:hAnsi="Arial"/>
      <w:position w:val="-30"/>
      <w:sz w:val="28"/>
    </w:rPr>
  </w:style>
  <w:style w:type="paragraph" w:customStyle="1" w:styleId="102">
    <w:name w:val="Char2 Char Char Char Char Char Char Char Char Char3"/>
    <w:basedOn w:val="1"/>
    <w:qFormat/>
    <w:uiPriority w:val="0"/>
    <w:pPr>
      <w:keepNext/>
      <w:keepLines/>
      <w:spacing w:line="300" w:lineRule="auto"/>
    </w:pPr>
    <w:rPr>
      <w:bCs/>
      <w:kern w:val="0"/>
      <w:position w:val="-30"/>
      <w:sz w:val="24"/>
      <w:lang w:eastAsia="en-US"/>
    </w:rPr>
  </w:style>
  <w:style w:type="paragraph" w:customStyle="1" w:styleId="103">
    <w:name w:val="Char2 Char Char Char Char Char Char Char Char Char4"/>
    <w:basedOn w:val="1"/>
    <w:qFormat/>
    <w:uiPriority w:val="0"/>
    <w:pPr>
      <w:keepNext/>
      <w:keepLines/>
      <w:spacing w:line="300" w:lineRule="auto"/>
    </w:pPr>
    <w:rPr>
      <w:bCs/>
      <w:kern w:val="0"/>
      <w:position w:val="-30"/>
      <w:sz w:val="24"/>
      <w:lang w:eastAsia="en-US"/>
    </w:rPr>
  </w:style>
  <w:style w:type="paragraph" w:customStyle="1" w:styleId="104">
    <w:name w:val="Char2 Char Char Char Char Char Char Char Char Char5"/>
    <w:basedOn w:val="1"/>
    <w:qFormat/>
    <w:uiPriority w:val="0"/>
    <w:pPr>
      <w:keepNext/>
      <w:keepLines/>
      <w:spacing w:line="300" w:lineRule="auto"/>
    </w:pPr>
    <w:rPr>
      <w:bCs/>
      <w:kern w:val="0"/>
      <w:position w:val="-30"/>
      <w:sz w:val="24"/>
      <w:lang w:eastAsia="en-US"/>
    </w:rPr>
  </w:style>
  <w:style w:type="paragraph" w:customStyle="1" w:styleId="105">
    <w:name w:val="Char2 Char Char Char Char Char Char Char Char Char6"/>
    <w:basedOn w:val="1"/>
    <w:qFormat/>
    <w:uiPriority w:val="0"/>
    <w:pPr>
      <w:keepNext/>
      <w:keepLines/>
      <w:spacing w:line="300" w:lineRule="auto"/>
    </w:pPr>
    <w:rPr>
      <w:bCs/>
      <w:kern w:val="0"/>
      <w:position w:val="-30"/>
      <w:sz w:val="24"/>
      <w:lang w:eastAsia="en-US"/>
    </w:rPr>
  </w:style>
  <w:style w:type="paragraph" w:customStyle="1" w:styleId="106">
    <w:name w:val="正文中标题"/>
    <w:basedOn w:val="1"/>
    <w:link w:val="107"/>
    <w:qFormat/>
    <w:uiPriority w:val="0"/>
    <w:pPr>
      <w:spacing w:beforeLines="50" w:afterLines="50" w:line="460" w:lineRule="exact"/>
    </w:pPr>
    <w:rPr>
      <w:rFonts w:ascii="楷体_GB2312" w:eastAsia="黑体"/>
      <w:b/>
      <w:sz w:val="28"/>
    </w:rPr>
  </w:style>
  <w:style w:type="character" w:customStyle="1" w:styleId="107">
    <w:name w:val="正文中标题 Char"/>
    <w:basedOn w:val="34"/>
    <w:link w:val="106"/>
    <w:qFormat/>
    <w:uiPriority w:val="0"/>
    <w:rPr>
      <w:rFonts w:ascii="楷体_GB2312" w:eastAsia="黑体"/>
      <w:b/>
      <w:kern w:val="2"/>
      <w:sz w:val="28"/>
      <w:szCs w:val="24"/>
    </w:rPr>
  </w:style>
  <w:style w:type="paragraph" w:customStyle="1" w:styleId="108">
    <w:name w:val="Char2 Char Char Char Char Char Char Char Char Char7"/>
    <w:basedOn w:val="1"/>
    <w:qFormat/>
    <w:uiPriority w:val="0"/>
    <w:pPr>
      <w:keepNext/>
      <w:keepLines/>
      <w:spacing w:line="300" w:lineRule="auto"/>
    </w:pPr>
    <w:rPr>
      <w:bCs/>
      <w:kern w:val="0"/>
      <w:position w:val="-30"/>
      <w:sz w:val="24"/>
      <w:lang w:eastAsia="en-US"/>
    </w:rPr>
  </w:style>
  <w:style w:type="paragraph" w:customStyle="1" w:styleId="109">
    <w:name w:val="Char2 Char Char Char Char Char Char Char Char Char8"/>
    <w:basedOn w:val="1"/>
    <w:qFormat/>
    <w:uiPriority w:val="0"/>
    <w:pPr>
      <w:keepNext/>
      <w:keepLines/>
      <w:spacing w:line="300" w:lineRule="auto"/>
    </w:pPr>
    <w:rPr>
      <w:bCs/>
      <w:kern w:val="0"/>
      <w:position w:val="-30"/>
      <w:sz w:val="24"/>
      <w:lang w:eastAsia="en-US"/>
    </w:rPr>
  </w:style>
  <w:style w:type="character" w:customStyle="1" w:styleId="110">
    <w:name w:val="正文中小标题 Char Char"/>
    <w:basedOn w:val="34"/>
    <w:link w:val="111"/>
    <w:qFormat/>
    <w:uiPriority w:val="0"/>
    <w:rPr>
      <w:rFonts w:ascii="楷体_GB2312" w:eastAsia="黑体"/>
      <w:kern w:val="2"/>
      <w:sz w:val="28"/>
      <w:szCs w:val="24"/>
    </w:rPr>
  </w:style>
  <w:style w:type="paragraph" w:customStyle="1" w:styleId="111">
    <w:name w:val="正文中小标题"/>
    <w:basedOn w:val="1"/>
    <w:link w:val="110"/>
    <w:qFormat/>
    <w:uiPriority w:val="0"/>
    <w:pPr>
      <w:spacing w:beforeLines="50" w:afterLines="50" w:line="460" w:lineRule="exact"/>
      <w:ind w:firstLine="200" w:firstLineChars="200"/>
    </w:pPr>
    <w:rPr>
      <w:rFonts w:ascii="楷体_GB2312" w:eastAsia="黑体"/>
      <w:sz w:val="28"/>
    </w:rPr>
  </w:style>
  <w:style w:type="paragraph" w:customStyle="1" w:styleId="112">
    <w:name w:val="Char2 Char Char Char Char Char Char Char Char Char9"/>
    <w:basedOn w:val="1"/>
    <w:qFormat/>
    <w:uiPriority w:val="0"/>
    <w:pPr>
      <w:keepNext/>
      <w:keepLines/>
      <w:spacing w:line="300" w:lineRule="auto"/>
    </w:pPr>
    <w:rPr>
      <w:bCs/>
      <w:kern w:val="0"/>
      <w:position w:val="-30"/>
      <w:sz w:val="24"/>
      <w:lang w:eastAsia="en-US"/>
    </w:rPr>
  </w:style>
  <w:style w:type="paragraph" w:customStyle="1" w:styleId="113">
    <w:name w:val="Char2 Char Char Char Char Char Char Char Char Char10"/>
    <w:basedOn w:val="1"/>
    <w:qFormat/>
    <w:uiPriority w:val="0"/>
    <w:pPr>
      <w:keepNext/>
      <w:keepLines/>
      <w:spacing w:line="300" w:lineRule="auto"/>
    </w:pPr>
    <w:rPr>
      <w:bCs/>
      <w:kern w:val="0"/>
      <w:position w:val="-30"/>
      <w:sz w:val="24"/>
      <w:lang w:eastAsia="en-US"/>
    </w:rPr>
  </w:style>
  <w:style w:type="character" w:customStyle="1" w:styleId="114">
    <w:name w:val="page number"/>
    <w:basedOn w:val="34"/>
    <w:qFormat/>
    <w:uiPriority w:val="0"/>
  </w:style>
  <w:style w:type="paragraph" w:customStyle="1" w:styleId="115">
    <w:name w:val=" Char Char Char Char"/>
    <w:basedOn w:val="1"/>
    <w:qFormat/>
    <w:uiPriority w:val="0"/>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4" Type="http://schemas.openxmlformats.org/officeDocument/2006/relationships/fontTable" Target="fontTable.xml"/><Relationship Id="rId33" Type="http://schemas.openxmlformats.org/officeDocument/2006/relationships/customXml" Target="../customXml/item2.xml"/><Relationship Id="rId32" Type="http://schemas.openxmlformats.org/officeDocument/2006/relationships/customXml" Target="../customXml/item1.xml"/><Relationship Id="rId31" Type="http://schemas.openxmlformats.org/officeDocument/2006/relationships/image" Target="media/image23.png"/><Relationship Id="rId30" Type="http://schemas.openxmlformats.org/officeDocument/2006/relationships/image" Target="media/image22.jpeg"/><Relationship Id="rId3" Type="http://schemas.openxmlformats.org/officeDocument/2006/relationships/footer" Target="foot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emf"/><Relationship Id="rId12" Type="http://schemas.openxmlformats.org/officeDocument/2006/relationships/oleObject" Target="embeddings/oleObject2.bin"/><Relationship Id="rId11" Type="http://schemas.openxmlformats.org/officeDocument/2006/relationships/image" Target="media/image4.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231613-EB5C-4CD9-A4D2-235CD9D11F10}">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52</Pages>
  <Words>5325</Words>
  <Characters>30354</Characters>
  <Lines>252</Lines>
  <Paragraphs>71</Paragraphs>
  <TotalTime>2</TotalTime>
  <ScaleCrop>false</ScaleCrop>
  <LinksUpToDate>false</LinksUpToDate>
  <CharactersWithSpaces>35608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竣工环境保护验收调查报告表</cp:category>
  <dcterms:created xsi:type="dcterms:W3CDTF">2018-02-08T01:23:00Z</dcterms:created>
  <dc:creator>wf</dc:creator>
  <cp:lastModifiedBy>21克</cp:lastModifiedBy>
  <cp:lastPrinted>2016-02-22T06:47:00Z</cp:lastPrinted>
  <dcterms:modified xsi:type="dcterms:W3CDTF">2022-03-09T11:11:26Z</dcterms:modified>
  <dc:title>天然气输气管道工程竣工验收调查表</dc:title>
  <cp:revision>450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C0A500BCB96D44B2B86B266A67F20C4C</vt:lpwstr>
  </property>
</Properties>
</file>